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8DF9" w14:textId="77777777" w:rsidR="00113C5A" w:rsidRPr="00455A3C" w:rsidRDefault="00113C5A" w:rsidP="00F60A53">
      <w:pPr>
        <w:pStyle w:val="F2-zkladn"/>
        <w:spacing w:line="276" w:lineRule="auto"/>
        <w:rPr>
          <w:b/>
          <w:sz w:val="28"/>
          <w:szCs w:val="28"/>
        </w:rPr>
      </w:pPr>
    </w:p>
    <w:p w14:paraId="7FEA48D8" w14:textId="77777777" w:rsidR="00B123FF" w:rsidRPr="00455A3C" w:rsidRDefault="00B123FF" w:rsidP="00F60A53">
      <w:pPr>
        <w:pStyle w:val="F2-zkladn"/>
        <w:spacing w:line="276" w:lineRule="auto"/>
        <w:rPr>
          <w:b/>
          <w:sz w:val="28"/>
          <w:szCs w:val="28"/>
        </w:rPr>
      </w:pPr>
      <w:bookmarkStart w:id="0" w:name="_Hlk104376839"/>
      <w:bookmarkEnd w:id="0"/>
      <w:r w:rsidRPr="00455A3C">
        <w:rPr>
          <w:b/>
          <w:sz w:val="28"/>
          <w:szCs w:val="28"/>
        </w:rPr>
        <w:t xml:space="preserve">TISKOVÁ </w:t>
      </w:r>
      <w:r w:rsidR="00425B35" w:rsidRPr="00455A3C">
        <w:rPr>
          <w:b/>
          <w:sz w:val="28"/>
          <w:szCs w:val="28"/>
        </w:rPr>
        <w:t>ZPRÁVA</w:t>
      </w:r>
    </w:p>
    <w:p w14:paraId="59F979EF" w14:textId="116E271E"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4F4E7F15">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BDB3B5A"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75B3B02B"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76DE544F">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B6D5BE9"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t xml:space="preserve">Praha, </w:t>
      </w:r>
      <w:r w:rsidR="0078405C">
        <w:t>20</w:t>
      </w:r>
      <w:r w:rsidR="005420B4">
        <w:t>.</w:t>
      </w:r>
      <w:r w:rsidR="00F60A53">
        <w:t xml:space="preserve"> </w:t>
      </w:r>
      <w:r w:rsidR="00467BA4">
        <w:t>dubna</w:t>
      </w:r>
      <w:r w:rsidR="00A30105" w:rsidRPr="00455A3C">
        <w:t xml:space="preserve"> 20</w:t>
      </w:r>
      <w:r w:rsidR="00A7414F" w:rsidRPr="00455A3C">
        <w:t>2</w:t>
      </w:r>
      <w:r w:rsidR="000F274E">
        <w:t>3</w:t>
      </w:r>
    </w:p>
    <w:p w14:paraId="7EECF1EA" w14:textId="77777777" w:rsidR="002027ED" w:rsidRPr="002027ED" w:rsidRDefault="002027ED" w:rsidP="002027ED">
      <w:pPr>
        <w:pStyle w:val="F2-zkladn"/>
        <w:tabs>
          <w:tab w:val="right" w:pos="9070"/>
        </w:tabs>
        <w:spacing w:line="276" w:lineRule="auto"/>
      </w:pPr>
    </w:p>
    <w:p w14:paraId="1F405B0B" w14:textId="01C53E02" w:rsidR="006B6F61" w:rsidRPr="00A01EEF" w:rsidRDefault="00904CA9" w:rsidP="006B6F61">
      <w:pPr>
        <w:pStyle w:val="paragraph"/>
        <w:spacing w:before="0" w:beforeAutospacing="0" w:after="0" w:afterAutospacing="0"/>
        <w:textAlignment w:val="baseline"/>
        <w:rPr>
          <w:rFonts w:ascii="Arial" w:hAnsi="Arial" w:cs="Arial"/>
          <w:b/>
          <w:bCs/>
          <w:color w:val="000000"/>
          <w:sz w:val="28"/>
          <w:szCs w:val="28"/>
          <w:lang w:val="cs-CZ"/>
        </w:rPr>
      </w:pPr>
      <w:proofErr w:type="spellStart"/>
      <w:r w:rsidRPr="00A01EEF">
        <w:rPr>
          <w:rStyle w:val="normaltextrun"/>
          <w:rFonts w:ascii="Arial" w:hAnsi="Arial" w:cs="Arial"/>
          <w:b/>
          <w:bCs/>
          <w:color w:val="000000"/>
          <w:sz w:val="28"/>
          <w:szCs w:val="28"/>
          <w:lang w:val="cs-CZ"/>
        </w:rPr>
        <w:t>Fidelity</w:t>
      </w:r>
      <w:proofErr w:type="spellEnd"/>
      <w:r w:rsidRPr="00A01EEF">
        <w:rPr>
          <w:rStyle w:val="normaltextrun"/>
          <w:rFonts w:ascii="Arial" w:hAnsi="Arial" w:cs="Arial"/>
          <w:b/>
          <w:bCs/>
          <w:color w:val="000000"/>
          <w:sz w:val="28"/>
          <w:szCs w:val="28"/>
          <w:lang w:val="cs-CZ"/>
        </w:rPr>
        <w:t xml:space="preserve"> International</w:t>
      </w:r>
      <w:r w:rsidR="00694CCF">
        <w:rPr>
          <w:rStyle w:val="normaltextrun"/>
          <w:rFonts w:ascii="Arial" w:hAnsi="Arial" w:cs="Arial"/>
          <w:b/>
          <w:bCs/>
          <w:color w:val="000000"/>
          <w:sz w:val="28"/>
          <w:szCs w:val="28"/>
          <w:lang w:val="cs-CZ"/>
        </w:rPr>
        <w:t xml:space="preserve">: </w:t>
      </w:r>
      <w:r w:rsidR="00544A64">
        <w:rPr>
          <w:rStyle w:val="normaltextrun"/>
          <w:rFonts w:ascii="Arial" w:hAnsi="Arial" w:cs="Arial"/>
          <w:b/>
          <w:bCs/>
          <w:color w:val="000000"/>
          <w:sz w:val="28"/>
          <w:szCs w:val="28"/>
          <w:lang w:val="cs-CZ"/>
        </w:rPr>
        <w:t>Evropské komerční nemovitosti si stojí lépe než americké</w:t>
      </w:r>
    </w:p>
    <w:p w14:paraId="2AF5B732" w14:textId="77777777" w:rsidR="006B6F61" w:rsidRDefault="006B6F61" w:rsidP="006B6F61">
      <w:pPr>
        <w:pStyle w:val="paragraph"/>
        <w:spacing w:before="0" w:beforeAutospacing="0" w:after="0" w:afterAutospacing="0"/>
        <w:textAlignment w:val="baseline"/>
        <w:rPr>
          <w:rFonts w:asciiTheme="minorHAnsi" w:eastAsiaTheme="minorHAnsi" w:hAnsiTheme="minorHAnsi" w:cstheme="minorBidi"/>
          <w:b/>
          <w:lang w:val="cs-CZ" w:eastAsia="en-US"/>
        </w:rPr>
      </w:pPr>
    </w:p>
    <w:p w14:paraId="77D98D0A" w14:textId="63650D2B" w:rsidR="006B6F61" w:rsidRDefault="00544A64" w:rsidP="002027ED">
      <w:pPr>
        <w:pStyle w:val="paragraph"/>
        <w:spacing w:before="0" w:beforeAutospacing="0" w:after="0" w:afterAutospacing="0"/>
        <w:jc w:val="both"/>
        <w:textAlignment w:val="baseline"/>
        <w:rPr>
          <w:rFonts w:asciiTheme="minorHAnsi" w:eastAsiaTheme="minorHAnsi" w:hAnsiTheme="minorHAnsi" w:cstheme="minorBidi"/>
          <w:b/>
          <w:lang w:val="cs-CZ" w:eastAsia="en-US"/>
        </w:rPr>
      </w:pPr>
      <w:r>
        <w:rPr>
          <w:rFonts w:asciiTheme="minorHAnsi" w:eastAsiaTheme="minorHAnsi" w:hAnsiTheme="minorHAnsi" w:cstheme="minorBidi"/>
          <w:b/>
          <w:lang w:val="cs-CZ" w:eastAsia="en-US"/>
        </w:rPr>
        <w:t>Rostou obavy, že další vlna tlaků na americké banky bude pocházet z oblasti komerčních nemovitostí. V Evropě je ale kancelářský sektor odolnější a většina bank je tak méně vystavena prudkým tlakům.</w:t>
      </w:r>
    </w:p>
    <w:p w14:paraId="171FA3C7" w14:textId="77777777" w:rsidR="002C1698" w:rsidRPr="002C1698" w:rsidRDefault="006B6F61" w:rsidP="002C1698">
      <w:pPr>
        <w:pStyle w:val="paragraph"/>
        <w:spacing w:before="0" w:beforeAutospacing="0" w:after="0" w:afterAutospacing="0"/>
        <w:jc w:val="both"/>
        <w:textAlignment w:val="baseline"/>
        <w:rPr>
          <w:rFonts w:ascii="Arial" w:hAnsi="Arial" w:cs="Arial"/>
          <w:sz w:val="20"/>
          <w:szCs w:val="20"/>
          <w:lang w:val="cs-CZ" w:eastAsia="cs-CZ"/>
        </w:rPr>
      </w:pPr>
      <w:r w:rsidRPr="002C1698">
        <w:rPr>
          <w:rFonts w:ascii="Arial" w:hAnsi="Arial" w:cs="Arial"/>
          <w:sz w:val="20"/>
          <w:szCs w:val="20"/>
          <w:lang w:val="cs-CZ" w:eastAsia="cs-CZ"/>
        </w:rPr>
        <w:t> </w:t>
      </w:r>
    </w:p>
    <w:p w14:paraId="582F2328" w14:textId="06C2F573" w:rsidR="002C5176" w:rsidRDefault="00544A64" w:rsidP="002C5176">
      <w:pPr>
        <w:pStyle w:val="paragraph"/>
        <w:spacing w:before="0" w:beforeAutospacing="0" w:after="0" w:afterAutospacing="0" w:line="276" w:lineRule="auto"/>
        <w:jc w:val="both"/>
        <w:textAlignment w:val="baseline"/>
        <w:rPr>
          <w:rFonts w:ascii="Arial" w:hAnsi="Arial" w:cs="Arial"/>
          <w:sz w:val="20"/>
          <w:szCs w:val="20"/>
          <w:lang w:val="cs-CZ" w:eastAsia="cs-CZ"/>
        </w:rPr>
      </w:pPr>
      <w:r>
        <w:rPr>
          <w:rFonts w:ascii="Arial" w:hAnsi="Arial" w:cs="Arial"/>
          <w:sz w:val="20"/>
          <w:szCs w:val="20"/>
          <w:lang w:val="cs-CZ" w:eastAsia="cs-CZ"/>
        </w:rPr>
        <w:t xml:space="preserve">Evropské nemovitosti jsou defenzivnější než jejich americké protějšky. Například v Evropě se nacházejí desítky tisíc středověkých hradů, zatímco v USA vůbec žádné. </w:t>
      </w:r>
      <w:r w:rsidRPr="002C5176">
        <w:rPr>
          <w:rFonts w:ascii="Arial" w:hAnsi="Arial" w:cs="Arial"/>
          <w:i/>
          <w:iCs/>
          <w:sz w:val="20"/>
          <w:szCs w:val="20"/>
          <w:lang w:val="cs-CZ" w:eastAsia="cs-CZ"/>
        </w:rPr>
        <w:t xml:space="preserve">„Co se týče střízlivějšího pohledu, americký trh s komerčními nemovitostmi oslabuje, přičemž americké banky jsou vystaveny krizi prostřednictvím rekordních 5,31 bilionu dolarů celkového objemu úvěrů a leasingů na nemovitosti. Pozornost se tak rychle obrátila k evropskému trhu komerčních nemovitostí – zde však podle našeho názoru bude </w:t>
      </w:r>
      <w:proofErr w:type="spellStart"/>
      <w:r w:rsidRPr="002C5176">
        <w:rPr>
          <w:rFonts w:ascii="Arial" w:hAnsi="Arial" w:cs="Arial"/>
          <w:i/>
          <w:iCs/>
          <w:sz w:val="20"/>
          <w:szCs w:val="20"/>
          <w:lang w:val="cs-CZ" w:eastAsia="cs-CZ"/>
        </w:rPr>
        <w:t>defenzivita</w:t>
      </w:r>
      <w:proofErr w:type="spellEnd"/>
      <w:r w:rsidRPr="002C5176">
        <w:rPr>
          <w:rFonts w:ascii="Arial" w:hAnsi="Arial" w:cs="Arial"/>
          <w:i/>
          <w:iCs/>
          <w:sz w:val="20"/>
          <w:szCs w:val="20"/>
          <w:lang w:val="cs-CZ" w:eastAsia="cs-CZ"/>
        </w:rPr>
        <w:t xml:space="preserve"> zajímavější,”</w:t>
      </w:r>
      <w:r w:rsidRPr="00544A64">
        <w:rPr>
          <w:rFonts w:ascii="Arial" w:hAnsi="Arial" w:cs="Arial"/>
          <w:sz w:val="20"/>
          <w:szCs w:val="20"/>
          <w:lang w:val="cs-CZ" w:eastAsia="cs-CZ"/>
        </w:rPr>
        <w:t xml:space="preserve"> říká </w:t>
      </w:r>
      <w:r w:rsidR="0078405C">
        <w:rPr>
          <w:rFonts w:ascii="Arial" w:hAnsi="Arial" w:cs="Arial"/>
          <w:sz w:val="20"/>
          <w:szCs w:val="20"/>
          <w:lang w:val="cs-CZ" w:eastAsia="cs-CZ"/>
        </w:rPr>
        <w:t xml:space="preserve">Kim </w:t>
      </w:r>
      <w:proofErr w:type="spellStart"/>
      <w:r w:rsidR="0078405C">
        <w:rPr>
          <w:rFonts w:ascii="Arial" w:hAnsi="Arial" w:cs="Arial"/>
          <w:sz w:val="20"/>
          <w:szCs w:val="20"/>
          <w:lang w:val="cs-CZ" w:eastAsia="cs-CZ"/>
        </w:rPr>
        <w:t>Politzer</w:t>
      </w:r>
      <w:proofErr w:type="spellEnd"/>
      <w:r w:rsidRPr="00544A64">
        <w:rPr>
          <w:rFonts w:ascii="Arial" w:hAnsi="Arial" w:cs="Arial"/>
          <w:sz w:val="20"/>
          <w:szCs w:val="20"/>
          <w:lang w:val="cs-CZ" w:eastAsia="cs-CZ"/>
        </w:rPr>
        <w:t xml:space="preserve"> z </w:t>
      </w:r>
      <w:proofErr w:type="spellStart"/>
      <w:r w:rsidRPr="00544A64">
        <w:rPr>
          <w:rFonts w:ascii="Arial" w:hAnsi="Arial" w:cs="Arial"/>
          <w:sz w:val="20"/>
          <w:szCs w:val="20"/>
          <w:lang w:val="cs-CZ" w:eastAsia="cs-CZ"/>
        </w:rPr>
        <w:t>Fidelity</w:t>
      </w:r>
      <w:proofErr w:type="spellEnd"/>
      <w:r w:rsidRPr="00544A64">
        <w:rPr>
          <w:rFonts w:ascii="Arial" w:hAnsi="Arial" w:cs="Arial"/>
          <w:sz w:val="20"/>
          <w:szCs w:val="20"/>
          <w:lang w:val="cs-CZ" w:eastAsia="cs-CZ"/>
        </w:rPr>
        <w:t xml:space="preserve"> International. </w:t>
      </w:r>
    </w:p>
    <w:p w14:paraId="14FF7054" w14:textId="2364A494" w:rsidR="002C5176" w:rsidRDefault="002C5176" w:rsidP="002C5176">
      <w:pPr>
        <w:pStyle w:val="paragraph"/>
        <w:spacing w:before="0" w:beforeAutospacing="0" w:after="0" w:afterAutospacing="0" w:line="276" w:lineRule="auto"/>
        <w:jc w:val="both"/>
        <w:textAlignment w:val="baseline"/>
        <w:rPr>
          <w:rFonts w:ascii="Arial" w:hAnsi="Arial" w:cs="Arial"/>
          <w:sz w:val="20"/>
          <w:szCs w:val="20"/>
          <w:lang w:val="cs-CZ" w:eastAsia="cs-CZ"/>
        </w:rPr>
      </w:pPr>
    </w:p>
    <w:p w14:paraId="75D0F30C" w14:textId="3F91BF1A" w:rsidR="002C5176" w:rsidRDefault="002C5176" w:rsidP="002C5176">
      <w:pPr>
        <w:pStyle w:val="paragraph"/>
        <w:spacing w:before="0" w:beforeAutospacing="0" w:after="0" w:afterAutospacing="0" w:line="276" w:lineRule="auto"/>
        <w:jc w:val="both"/>
        <w:textAlignment w:val="baseline"/>
        <w:rPr>
          <w:rFonts w:ascii="Arial" w:hAnsi="Arial" w:cs="Arial"/>
          <w:sz w:val="20"/>
          <w:szCs w:val="20"/>
          <w:lang w:val="cs-CZ" w:eastAsia="cs-CZ"/>
        </w:rPr>
      </w:pPr>
      <w:r w:rsidRPr="002C5176">
        <w:rPr>
          <w:rFonts w:ascii="Arial" w:hAnsi="Arial" w:cs="Arial"/>
          <w:sz w:val="20"/>
          <w:szCs w:val="20"/>
          <w:lang w:val="cs-CZ" w:eastAsia="cs-CZ"/>
        </w:rPr>
        <w:t>Jedním z faktorů je výrazný rozdíl mezi americkým a evropským kancelářským sektorem, který se ještě prohloubil v důsledku pandemie a globálního přechodu na hybridní práci. V USA byl návrat do kanceláří mnohem pomalejší. Například počet cest uskutečněných newyorským metrem v únoru 2023 činil 80,3 milionu, což je stále téměř o čtvrtinu méně než 105,5 milionu cest ve stejném měsíci v roce 2020, tedy těsně před lockdowny. Pro srovnání, v Londýně se počet cestujících v metru a autobusové dopravě v únoru snížil pouze o 15 % oproti období před Covidem.</w:t>
      </w:r>
    </w:p>
    <w:p w14:paraId="2FC152E7" w14:textId="77777777" w:rsidR="002C5176" w:rsidRPr="002C5176" w:rsidRDefault="002C5176" w:rsidP="00770C0E">
      <w:pPr>
        <w:spacing w:after="210" w:line="276" w:lineRule="auto"/>
      </w:pPr>
      <w:r w:rsidRPr="002C5176">
        <w:t xml:space="preserve">Obsazenost kanceláří v USA je mnohem nižší než v Evropě a jedná se přibližně 40-60 %, zatímco na evropském trhu je to 70-90 %. Navzdory této nižší obsazenosti americké společnosti nesnížily počet poskytovaných pracovních míst a v Evropě zatím nedošlo k přechodu na </w:t>
      </w:r>
      <w:proofErr w:type="spellStart"/>
      <w:r w:rsidRPr="002C5176">
        <w:t>hotdesking</w:t>
      </w:r>
      <w:proofErr w:type="spellEnd"/>
      <w:r w:rsidRPr="002C5176">
        <w:t xml:space="preserve"> (sdílení kancelářských pro více pracovníků, kdy ne každý má svůj vlastní stůl): V USA firmy stále poskytují téměř jeden pracovní stůl na osobu (na každých 100 pracovníků připadá 96 pracovních stolů), zatímco v EU připadá na každých 100 pracovníků jen asi 63 kancelářských stolů.</w:t>
      </w:r>
    </w:p>
    <w:p w14:paraId="42965DA5" w14:textId="77777777" w:rsidR="0078405C" w:rsidRDefault="002C5176" w:rsidP="00770C0E">
      <w:pPr>
        <w:spacing w:after="210" w:line="276" w:lineRule="auto"/>
      </w:pPr>
      <w:r w:rsidRPr="002C5176">
        <w:t>To má za následek, že v USA jsou obrovské plochy kanceláří nedostatečně využité, míra neobsazenosti kanceláří dosahuje 19,6 % a roste, zatímco v Evropě je stabilní a dosahuje přibližně 7,4 %.</w:t>
      </w:r>
    </w:p>
    <w:p w14:paraId="0CC254B2" w14:textId="77777777" w:rsidR="0078405C" w:rsidRPr="0047156B" w:rsidRDefault="0078405C" w:rsidP="00770C0E">
      <w:pPr>
        <w:spacing w:after="210" w:line="276" w:lineRule="auto"/>
      </w:pPr>
    </w:p>
    <w:p w14:paraId="7985A741" w14:textId="77777777" w:rsidR="0078405C" w:rsidRPr="0047156B" w:rsidRDefault="0078405C" w:rsidP="00770C0E">
      <w:pPr>
        <w:spacing w:after="210" w:line="276" w:lineRule="auto"/>
      </w:pPr>
    </w:p>
    <w:p w14:paraId="023945C8" w14:textId="77777777" w:rsidR="0078405C" w:rsidRPr="0047156B" w:rsidRDefault="0078405C" w:rsidP="00770C0E">
      <w:pPr>
        <w:spacing w:after="210" w:line="276" w:lineRule="auto"/>
      </w:pPr>
    </w:p>
    <w:p w14:paraId="51E5A8CF" w14:textId="77777777" w:rsidR="0078405C" w:rsidRPr="0047156B" w:rsidRDefault="0078405C" w:rsidP="00770C0E">
      <w:pPr>
        <w:spacing w:after="210" w:line="276" w:lineRule="auto"/>
      </w:pPr>
    </w:p>
    <w:p w14:paraId="3006B595" w14:textId="77777777" w:rsidR="0078405C" w:rsidRDefault="0078405C" w:rsidP="0078405C">
      <w:pPr>
        <w:spacing w:after="210" w:line="276" w:lineRule="auto"/>
        <w:rPr>
          <w:rFonts w:eastAsiaTheme="minorHAnsi"/>
          <w:b/>
          <w:lang w:eastAsia="en-US"/>
        </w:rPr>
      </w:pPr>
    </w:p>
    <w:p w14:paraId="60229914" w14:textId="77777777" w:rsidR="0078405C" w:rsidRDefault="0078405C" w:rsidP="0078405C">
      <w:pPr>
        <w:spacing w:after="210" w:line="276" w:lineRule="auto"/>
        <w:rPr>
          <w:rFonts w:eastAsiaTheme="minorHAnsi"/>
          <w:b/>
          <w:lang w:eastAsia="en-US"/>
        </w:rPr>
      </w:pPr>
    </w:p>
    <w:p w14:paraId="3855AB4F" w14:textId="56BA2995" w:rsidR="002C5176" w:rsidRDefault="0078405C" w:rsidP="0078405C">
      <w:pPr>
        <w:spacing w:after="210" w:line="276" w:lineRule="auto"/>
        <w:rPr>
          <w:rFonts w:eastAsiaTheme="minorHAnsi"/>
          <w:b/>
          <w:lang w:eastAsia="en-US"/>
        </w:rPr>
      </w:pPr>
      <w:r w:rsidRPr="0078405C">
        <w:rPr>
          <w:noProof/>
          <w:lang w:eastAsia="en-US"/>
        </w:rPr>
        <w:drawing>
          <wp:anchor distT="0" distB="0" distL="114300" distR="114300" simplePos="0" relativeHeight="251658240" behindDoc="0" locked="0" layoutInCell="1" allowOverlap="1" wp14:anchorId="17181EF7" wp14:editId="3EDA2C4B">
            <wp:simplePos x="0" y="0"/>
            <wp:positionH relativeFrom="margin">
              <wp:align>left</wp:align>
            </wp:positionH>
            <wp:positionV relativeFrom="paragraph">
              <wp:posOffset>333375</wp:posOffset>
            </wp:positionV>
            <wp:extent cx="5759450" cy="2430780"/>
            <wp:effectExtent l="0" t="0" r="0" b="7620"/>
            <wp:wrapSquare wrapText="bothSides"/>
            <wp:docPr id="100182996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29968" name=""/>
                    <pic:cNvPicPr/>
                  </pic:nvPicPr>
                  <pic:blipFill>
                    <a:blip r:embed="rId12">
                      <a:extLst>
                        <a:ext uri="{28A0092B-C50C-407E-A947-70E740481C1C}">
                          <a14:useLocalDpi xmlns:a14="http://schemas.microsoft.com/office/drawing/2010/main" val="0"/>
                        </a:ext>
                      </a:extLst>
                    </a:blip>
                    <a:stretch>
                      <a:fillRect/>
                    </a:stretch>
                  </pic:blipFill>
                  <pic:spPr>
                    <a:xfrm>
                      <a:off x="0" y="0"/>
                      <a:ext cx="5759450" cy="2430780"/>
                    </a:xfrm>
                    <a:prstGeom prst="rect">
                      <a:avLst/>
                    </a:prstGeom>
                  </pic:spPr>
                </pic:pic>
              </a:graphicData>
            </a:graphic>
          </wp:anchor>
        </w:drawing>
      </w:r>
      <w:r>
        <w:rPr>
          <w:rFonts w:eastAsiaTheme="minorHAnsi"/>
          <w:b/>
          <w:lang w:eastAsia="en-US"/>
        </w:rPr>
        <w:t>Graf 1: Celosvětová a regionální míra neobsazenosti kanceláří</w:t>
      </w:r>
    </w:p>
    <w:p w14:paraId="7D44CDF9" w14:textId="4D0DE32D" w:rsidR="0078405C" w:rsidRPr="0078405C" w:rsidRDefault="0078405C" w:rsidP="0078405C">
      <w:pPr>
        <w:pStyle w:val="F2-zkladn"/>
        <w:jc w:val="right"/>
        <w:rPr>
          <w:i/>
          <w:iCs/>
          <w:sz w:val="18"/>
          <w:szCs w:val="18"/>
          <w:lang w:eastAsia="en-US"/>
        </w:rPr>
      </w:pPr>
      <w:r w:rsidRPr="0078405C">
        <w:rPr>
          <w:i/>
          <w:iCs/>
          <w:sz w:val="18"/>
          <w:szCs w:val="18"/>
          <w:lang w:eastAsia="en-US"/>
        </w:rPr>
        <w:t xml:space="preserve">Zdroj: JLL; </w:t>
      </w:r>
      <w:proofErr w:type="spellStart"/>
      <w:r w:rsidRPr="0078405C">
        <w:rPr>
          <w:i/>
          <w:iCs/>
          <w:sz w:val="18"/>
          <w:szCs w:val="18"/>
          <w:lang w:eastAsia="en-US"/>
        </w:rPr>
        <w:t>Fidelity</w:t>
      </w:r>
      <w:proofErr w:type="spellEnd"/>
      <w:r w:rsidRPr="0078405C">
        <w:rPr>
          <w:i/>
          <w:iCs/>
          <w:sz w:val="18"/>
          <w:szCs w:val="18"/>
          <w:lang w:eastAsia="en-US"/>
        </w:rPr>
        <w:t xml:space="preserve"> International, Březen 2023</w:t>
      </w:r>
    </w:p>
    <w:p w14:paraId="3AF8185B" w14:textId="23FED1B7" w:rsidR="002C5176" w:rsidRPr="002C5176" w:rsidRDefault="002C5176" w:rsidP="00770C0E">
      <w:pPr>
        <w:spacing w:after="210" w:line="276" w:lineRule="auto"/>
      </w:pPr>
      <w:r w:rsidRPr="002C5176">
        <w:t xml:space="preserve">Pronajímání prémiových kancelářských prostor se v USA udrželo, i když pronajímatelé museli výrazně zvýšit pobídky pro nájemce, aby se to podařilo. Celkové pobídkové balíčky mají nyní hodnotu téměř dvouletého nájemného, přičemž typické nájemní smlouvy jsou uzavírány pouze na pět let. Naproti tomu nájemné v Evropě mírně vzrostlo a na některých trzích se vzhledem k nedostatku kvalitních prostor přestávají pobídkové balíčky využívat. </w:t>
      </w:r>
    </w:p>
    <w:p w14:paraId="6E3D45E1" w14:textId="3A8B8A02" w:rsidR="002C5176" w:rsidRPr="002C5176" w:rsidRDefault="002C5176" w:rsidP="00770C0E">
      <w:pPr>
        <w:spacing w:after="210" w:line="276" w:lineRule="auto"/>
      </w:pPr>
      <w:r w:rsidRPr="002C5176">
        <w:t xml:space="preserve">Rizika, která jsou nyní na americkém trhu přítomna, jsou ještě umocněna velikostí budov, v nichž jsou kanceláře umístěny. Obvykle se jedná o mrakodrapy, které nelze snadno přestavět na obytné nebo jiné využití. Jejich rozsah znamená, že když se majitelé budov podvolí a ustoupí od svých závazků, dochází k velkým prodlením. V únoru 2023 kanadský realitní gigant </w:t>
      </w:r>
      <w:proofErr w:type="spellStart"/>
      <w:r w:rsidRPr="002C5176">
        <w:t>Brookfield</w:t>
      </w:r>
      <w:proofErr w:type="spellEnd"/>
      <w:r w:rsidRPr="002C5176">
        <w:t xml:space="preserve"> nesplácel úvěry ve výši 784 milionů dolarů zajištěné dvěma kancelářskými mrakodrapy v Los Angeles.  Na východním pobřeží jeden z největších vlastníků kancelářských budov v New Yorku, společnost RXR </w:t>
      </w:r>
      <w:proofErr w:type="spellStart"/>
      <w:r w:rsidRPr="002C5176">
        <w:t>Realty</w:t>
      </w:r>
      <w:proofErr w:type="spellEnd"/>
      <w:r w:rsidRPr="002C5176">
        <w:t>, oznámila, že odevzdává klíče od nejméně dvou nemovitostí na Manhattanu. Domnívala se, že další splácení dluhu nedává finanční smysl v kontextu rostoucích sazeb a nákladů spojených s jejich přeměnou na ekonomicky atraktivní aktiva.</w:t>
      </w:r>
    </w:p>
    <w:p w14:paraId="39CC2884" w14:textId="6019FB10" w:rsidR="006B6F61" w:rsidRPr="006F4F09" w:rsidRDefault="002C5176" w:rsidP="006B6F61">
      <w:pPr>
        <w:spacing w:after="210" w:line="276" w:lineRule="auto"/>
      </w:pPr>
      <w:r>
        <w:rPr>
          <w:rFonts w:eastAsiaTheme="minorHAnsi"/>
          <w:b/>
          <w:lang w:eastAsia="en-US"/>
        </w:rPr>
        <w:t>Expozice bank je omezená</w:t>
      </w:r>
    </w:p>
    <w:p w14:paraId="5DEE77B3" w14:textId="1B7C0066" w:rsidR="0078405C" w:rsidRPr="0078405C" w:rsidRDefault="002C5176" w:rsidP="00770C0E">
      <w:pPr>
        <w:spacing w:after="210" w:line="276" w:lineRule="auto"/>
      </w:pPr>
      <w:r w:rsidRPr="002C5176">
        <w:t xml:space="preserve">Evropská odolnost se </w:t>
      </w:r>
      <w:proofErr w:type="gramStart"/>
      <w:r w:rsidRPr="002C5176">
        <w:t>šíří</w:t>
      </w:r>
      <w:proofErr w:type="gramEnd"/>
      <w:r w:rsidRPr="002C5176">
        <w:t xml:space="preserve"> i mimo samotné kanceláře. Evropské banky jsou tomuto sektoru vystaveny rizikům méně než jejich americké protějšky. Úvěry na komerční využití nemovitostí </w:t>
      </w:r>
      <w:proofErr w:type="gramStart"/>
      <w:r w:rsidRPr="002C5176">
        <w:t>tvoří</w:t>
      </w:r>
      <w:proofErr w:type="gramEnd"/>
      <w:r w:rsidRPr="002C5176">
        <w:t xml:space="preserve"> přibližně sedm procent expozice evropských bank; u větších amerických bank je to téměř dvojnásobek, 13 procent, a šestkrát více – tedy 43 procent úvěrového portfolia u menších a regionálních amerických bank. Ty se dostaly do centra pozornosti po pádu SVB. </w:t>
      </w:r>
    </w:p>
    <w:p w14:paraId="3574F6B6" w14:textId="77777777" w:rsidR="002C5176" w:rsidRPr="002C5176" w:rsidRDefault="002C5176" w:rsidP="00770C0E">
      <w:pPr>
        <w:spacing w:after="210" w:line="276" w:lineRule="auto"/>
      </w:pPr>
      <w:r w:rsidRPr="002C5176">
        <w:t xml:space="preserve">Pojišťovny v USA jsou také vysoce exponované, přičemž přibližně 15 % fondů životního pojištění je drženo s ohledem k investicím do komerčních budov. Ztrátovost ve výši 8,6 procenta při expozici kanceláří (na základě potenciální míry selhání ve výši 21 procent a předpokladu závažnosti ztráty ve výši 41 procent) by znamenala ztráty ve výši 38 miliard dolarů v bankovním sektoru USA a 16 miliard dolarů na pojistném trhu. </w:t>
      </w:r>
    </w:p>
    <w:p w14:paraId="14526B18" w14:textId="0DB3E070" w:rsidR="00EB3306" w:rsidRDefault="002C5176" w:rsidP="00770C0E">
      <w:pPr>
        <w:spacing w:after="210" w:line="276" w:lineRule="auto"/>
      </w:pPr>
      <w:r w:rsidRPr="002C5176">
        <w:t>Posledním pozitivem evropské situace je skutečnost, že mnoho dluhopisů komerčních nemovitostí bylo znovu vyjednáno v době, kdy byly sazby nízké, a nebude třeba je několik let „</w:t>
      </w:r>
      <w:proofErr w:type="spellStart"/>
      <w:r w:rsidRPr="002C5176">
        <w:t>přerolovávat</w:t>
      </w:r>
      <w:proofErr w:type="spellEnd"/>
      <w:r w:rsidRPr="002C5176">
        <w:t>“.</w:t>
      </w:r>
    </w:p>
    <w:p w14:paraId="15B761EE" w14:textId="77777777" w:rsidR="0078405C" w:rsidRDefault="0078405C" w:rsidP="0078405C">
      <w:pPr>
        <w:pStyle w:val="F2-zkladn"/>
      </w:pPr>
    </w:p>
    <w:p w14:paraId="776543A7" w14:textId="77777777" w:rsidR="0078405C" w:rsidRDefault="0078405C" w:rsidP="0078405C">
      <w:pPr>
        <w:pStyle w:val="F2-zkladn"/>
      </w:pPr>
    </w:p>
    <w:p w14:paraId="16CA7494" w14:textId="77777777" w:rsidR="0078405C" w:rsidRDefault="0078405C" w:rsidP="0078405C">
      <w:pPr>
        <w:pStyle w:val="F2-zkladn"/>
      </w:pPr>
    </w:p>
    <w:p w14:paraId="46DBFDAF" w14:textId="56122F65" w:rsidR="0078405C" w:rsidRDefault="00484077" w:rsidP="0078405C">
      <w:pPr>
        <w:spacing w:after="210" w:line="276" w:lineRule="auto"/>
      </w:pPr>
      <w:r>
        <w:rPr>
          <w:rFonts w:eastAsiaTheme="minorHAnsi"/>
          <w:b/>
          <w:lang w:eastAsia="en-US"/>
        </w:rPr>
        <w:t xml:space="preserve">Graf 2: </w:t>
      </w:r>
      <w:r w:rsidR="0078405C">
        <w:rPr>
          <w:rFonts w:eastAsiaTheme="minorHAnsi"/>
          <w:b/>
          <w:lang w:eastAsia="en-US"/>
        </w:rPr>
        <w:t xml:space="preserve">Expozice bank vůči úvěrům </w:t>
      </w:r>
      <w:r w:rsidR="00770C0E">
        <w:rPr>
          <w:rFonts w:eastAsiaTheme="minorHAnsi"/>
          <w:b/>
          <w:lang w:eastAsia="en-US"/>
        </w:rPr>
        <w:t>na komerční nemovitosti</w:t>
      </w:r>
    </w:p>
    <w:p w14:paraId="16806AB7" w14:textId="77777777" w:rsidR="0078405C" w:rsidRDefault="0078405C" w:rsidP="0078405C">
      <w:pPr>
        <w:pStyle w:val="F2-zkladn"/>
      </w:pPr>
    </w:p>
    <w:p w14:paraId="7D5A06D4" w14:textId="581C705B" w:rsidR="0078405C" w:rsidRPr="00484077" w:rsidRDefault="0078405C" w:rsidP="0078405C">
      <w:pPr>
        <w:pStyle w:val="F2-zkladn"/>
        <w:jc w:val="right"/>
        <w:rPr>
          <w:i/>
          <w:iCs/>
          <w:sz w:val="18"/>
          <w:szCs w:val="18"/>
        </w:rPr>
      </w:pPr>
      <w:r w:rsidRPr="00484077">
        <w:rPr>
          <w:i/>
          <w:iCs/>
          <w:noProof/>
          <w:sz w:val="18"/>
          <w:szCs w:val="18"/>
        </w:rPr>
        <w:drawing>
          <wp:anchor distT="0" distB="0" distL="114300" distR="114300" simplePos="0" relativeHeight="251659264" behindDoc="0" locked="0" layoutInCell="1" allowOverlap="1" wp14:anchorId="37E43F14" wp14:editId="3DAAA697">
            <wp:simplePos x="0" y="0"/>
            <wp:positionH relativeFrom="column">
              <wp:posOffset>4445</wp:posOffset>
            </wp:positionH>
            <wp:positionV relativeFrom="paragraph">
              <wp:posOffset>0</wp:posOffset>
            </wp:positionV>
            <wp:extent cx="5759450" cy="2120265"/>
            <wp:effectExtent l="0" t="0" r="0" b="0"/>
            <wp:wrapSquare wrapText="bothSides"/>
            <wp:docPr id="4826990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69900" name=""/>
                    <pic:cNvPicPr/>
                  </pic:nvPicPr>
                  <pic:blipFill>
                    <a:blip r:embed="rId13">
                      <a:extLst>
                        <a:ext uri="{28A0092B-C50C-407E-A947-70E740481C1C}">
                          <a14:useLocalDpi xmlns:a14="http://schemas.microsoft.com/office/drawing/2010/main" val="0"/>
                        </a:ext>
                      </a:extLst>
                    </a:blip>
                    <a:stretch>
                      <a:fillRect/>
                    </a:stretch>
                  </pic:blipFill>
                  <pic:spPr>
                    <a:xfrm>
                      <a:off x="0" y="0"/>
                      <a:ext cx="5759450" cy="2120265"/>
                    </a:xfrm>
                    <a:prstGeom prst="rect">
                      <a:avLst/>
                    </a:prstGeom>
                  </pic:spPr>
                </pic:pic>
              </a:graphicData>
            </a:graphic>
          </wp:anchor>
        </w:drawing>
      </w:r>
      <w:r w:rsidRPr="00484077">
        <w:rPr>
          <w:i/>
          <w:iCs/>
          <w:sz w:val="18"/>
          <w:szCs w:val="18"/>
        </w:rPr>
        <w:t xml:space="preserve">Zdroj: </w:t>
      </w:r>
      <w:proofErr w:type="spellStart"/>
      <w:r w:rsidRPr="00484077">
        <w:rPr>
          <w:i/>
          <w:iCs/>
          <w:sz w:val="18"/>
          <w:szCs w:val="18"/>
        </w:rPr>
        <w:t>Federal</w:t>
      </w:r>
      <w:proofErr w:type="spellEnd"/>
      <w:r w:rsidRPr="00484077">
        <w:rPr>
          <w:i/>
          <w:iCs/>
          <w:sz w:val="18"/>
          <w:szCs w:val="18"/>
        </w:rPr>
        <w:t xml:space="preserve"> </w:t>
      </w:r>
      <w:proofErr w:type="spellStart"/>
      <w:r w:rsidRPr="00484077">
        <w:rPr>
          <w:i/>
          <w:iCs/>
          <w:sz w:val="18"/>
          <w:szCs w:val="18"/>
        </w:rPr>
        <w:t>Reserve</w:t>
      </w:r>
      <w:proofErr w:type="spellEnd"/>
      <w:r w:rsidR="00484077" w:rsidRPr="00484077">
        <w:rPr>
          <w:i/>
          <w:iCs/>
          <w:sz w:val="18"/>
          <w:szCs w:val="18"/>
        </w:rPr>
        <w:t xml:space="preserve">; </w:t>
      </w:r>
      <w:proofErr w:type="spellStart"/>
      <w:r w:rsidR="00484077" w:rsidRPr="00484077">
        <w:rPr>
          <w:i/>
          <w:iCs/>
          <w:sz w:val="18"/>
          <w:szCs w:val="18"/>
        </w:rPr>
        <w:t>European</w:t>
      </w:r>
      <w:proofErr w:type="spellEnd"/>
      <w:r w:rsidR="00484077" w:rsidRPr="00484077">
        <w:rPr>
          <w:i/>
          <w:iCs/>
          <w:sz w:val="18"/>
          <w:szCs w:val="18"/>
        </w:rPr>
        <w:t xml:space="preserve"> Banking </w:t>
      </w:r>
      <w:proofErr w:type="spellStart"/>
      <w:r w:rsidR="00484077" w:rsidRPr="00484077">
        <w:rPr>
          <w:i/>
          <w:iCs/>
          <w:sz w:val="18"/>
          <w:szCs w:val="18"/>
        </w:rPr>
        <w:t>Association</w:t>
      </w:r>
      <w:proofErr w:type="spellEnd"/>
      <w:r w:rsidR="00484077" w:rsidRPr="00484077">
        <w:rPr>
          <w:i/>
          <w:iCs/>
          <w:sz w:val="18"/>
          <w:szCs w:val="18"/>
        </w:rPr>
        <w:t xml:space="preserve">; </w:t>
      </w:r>
      <w:proofErr w:type="spellStart"/>
      <w:r w:rsidR="00484077" w:rsidRPr="00484077">
        <w:rPr>
          <w:i/>
          <w:iCs/>
          <w:sz w:val="18"/>
          <w:szCs w:val="18"/>
        </w:rPr>
        <w:t>Fidelity</w:t>
      </w:r>
      <w:proofErr w:type="spellEnd"/>
      <w:r w:rsidR="00484077" w:rsidRPr="00484077">
        <w:rPr>
          <w:i/>
          <w:iCs/>
          <w:sz w:val="18"/>
          <w:szCs w:val="18"/>
        </w:rPr>
        <w:t xml:space="preserve"> International, Březen 2023</w:t>
      </w:r>
    </w:p>
    <w:p w14:paraId="29890F3E" w14:textId="7A7D5040" w:rsidR="00EB3306" w:rsidRDefault="002C5176" w:rsidP="002C5176">
      <w:pPr>
        <w:spacing w:after="210" w:line="276" w:lineRule="auto"/>
      </w:pPr>
      <w:r>
        <w:rPr>
          <w:rFonts w:eastAsiaTheme="minorHAnsi"/>
          <w:b/>
          <w:lang w:eastAsia="en-US"/>
        </w:rPr>
        <w:t>Riziko nákazy přetrvává</w:t>
      </w:r>
    </w:p>
    <w:p w14:paraId="43125379" w14:textId="77777777" w:rsidR="002C5176" w:rsidRPr="002C5176" w:rsidRDefault="002C5176" w:rsidP="00770C0E">
      <w:pPr>
        <w:spacing w:after="210" w:line="276" w:lineRule="auto"/>
      </w:pPr>
      <w:r w:rsidRPr="002C5176">
        <w:t>Jak dokládá nespočet impozantních ruin, které se nacházejí na mnoha místech Evropy, bez ohledu na to, jak strmé jsou hradby nebo silné zdi, jen málokterý hrad je zcela odolný vnějším vlivům. A totéž platí i pro trh s nemovitostmi v Evropě. Mohly by podlehnout, pokud by se problémy na globálním trhu s nemovitostmi zhoršily a vyvolaly by tak další krizi likvidity. Bez ohledu na relativní sílu tržních fundamentů v Evropě by to mohlo vyvolat krizi důvěry v celém sektoru. Následovalo by zpřísnění úvěrových podmínek pro nemovitosti, což by se mohlo tvořit protiváhu při případném uvolnění úrokové politiky centrálních bank.</w:t>
      </w:r>
    </w:p>
    <w:p w14:paraId="6E3310BC" w14:textId="77777777" w:rsidR="002C5176" w:rsidRPr="002C5176" w:rsidRDefault="002C5176" w:rsidP="00770C0E">
      <w:pPr>
        <w:spacing w:after="210" w:line="276" w:lineRule="auto"/>
      </w:pPr>
      <w:r w:rsidRPr="002C5176">
        <w:t xml:space="preserve">Evropská centrální banka označuje komerční nemovitosti za zranitelný sektor a plánuje posílit dohled nad expozicí bank vůči tomuto trhu. Prozkoumání 40 bankovních skupin v loňském roce zjistilo, že oblast komerčních nemovitostí může představovat až 30 % nesplácených úvěrů bank (především dědictví z globální finanční krize), přičemž mnoho bankovních věřitelů dostatečně nesleduje rizika portfolia. Několika z nich chybí běžně definované základní ukazatele rizik na úrovni portfolia a občas nerozumí ani umístění nemovitostí. </w:t>
      </w:r>
    </w:p>
    <w:p w14:paraId="7493A98C" w14:textId="77777777" w:rsidR="002C5176" w:rsidRPr="002C5176" w:rsidRDefault="002C5176" w:rsidP="00770C0E">
      <w:pPr>
        <w:spacing w:after="210" w:line="276" w:lineRule="auto"/>
      </w:pPr>
      <w:r w:rsidRPr="002C5176">
        <w:t xml:space="preserve">Tyto nedostatky pak přecházejí z hypotetických rizik do opravdových tržních událostí. Na začátku března společnost </w:t>
      </w:r>
      <w:proofErr w:type="spellStart"/>
      <w:r w:rsidRPr="002C5176">
        <w:t>Blackstone</w:t>
      </w:r>
      <w:proofErr w:type="spellEnd"/>
      <w:r w:rsidRPr="002C5176">
        <w:t xml:space="preserve"> nesplatila dluhopis ve výši 531 milionů eur krytý portfoliem kanceláří a maloobchodních prostor, které vlastní finská společnost </w:t>
      </w:r>
      <w:proofErr w:type="spellStart"/>
      <w:r w:rsidRPr="002C5176">
        <w:t>Sponda</w:t>
      </w:r>
      <w:proofErr w:type="spellEnd"/>
      <w:r w:rsidRPr="002C5176">
        <w:t>, poté, co držitelé dluhopisů hlasovali proti žádosti o prodloužení splatnosti.</w:t>
      </w:r>
    </w:p>
    <w:p w14:paraId="098ADCE8" w14:textId="512B9316" w:rsidR="002C5176" w:rsidRDefault="002C5176" w:rsidP="00770C0E">
      <w:pPr>
        <w:spacing w:after="210" w:line="276" w:lineRule="auto"/>
      </w:pPr>
      <w:r w:rsidRPr="002C5176">
        <w:t xml:space="preserve">Severské země jsou totiž jediným regionem v Evropě, kde je expozice bank vůči úvěrům z nemovitostí srovnatelná s USA, přičemž úvěry z nemovitostí </w:t>
      </w:r>
      <w:proofErr w:type="gramStart"/>
      <w:r w:rsidRPr="002C5176">
        <w:t>tvoří</w:t>
      </w:r>
      <w:proofErr w:type="gramEnd"/>
      <w:r w:rsidRPr="002C5176">
        <w:t xml:space="preserve"> více než pětinu úvěrového portfolia </w:t>
      </w:r>
      <w:proofErr w:type="spellStart"/>
      <w:r w:rsidRPr="002C5176">
        <w:t>Handelsbanken</w:t>
      </w:r>
      <w:proofErr w:type="spellEnd"/>
      <w:r w:rsidRPr="002C5176">
        <w:t xml:space="preserve">, </w:t>
      </w:r>
      <w:proofErr w:type="spellStart"/>
      <w:r w:rsidRPr="002C5176">
        <w:t>Danske</w:t>
      </w:r>
      <w:proofErr w:type="spellEnd"/>
      <w:r w:rsidRPr="002C5176">
        <w:t xml:space="preserve"> Bank a </w:t>
      </w:r>
      <w:proofErr w:type="spellStart"/>
      <w:r w:rsidRPr="002C5176">
        <w:t>Swedbank</w:t>
      </w:r>
      <w:proofErr w:type="spellEnd"/>
      <w:r w:rsidRPr="002C5176">
        <w:t xml:space="preserve">. </w:t>
      </w:r>
    </w:p>
    <w:p w14:paraId="418EBE2E" w14:textId="582928B2" w:rsidR="002C5176" w:rsidRPr="002C5176" w:rsidRDefault="002C5176" w:rsidP="00770C0E">
      <w:pPr>
        <w:spacing w:after="210" w:line="276" w:lineRule="auto"/>
      </w:pPr>
      <w:r w:rsidRPr="002C5176">
        <w:rPr>
          <w:i/>
          <w:iCs/>
        </w:rPr>
        <w:t xml:space="preserve">„Navzdory těmto hrozbám si nemyslíme, že je čas na obsazení obranných pozic. Nemovitosti mohou být odolnější, než si myslíme. V globálním systému je stále dostatek „suchého střelného prachu“ (v </w:t>
      </w:r>
      <w:r w:rsidRPr="002C5176">
        <w:rPr>
          <w:i/>
          <w:iCs/>
        </w:rPr>
        <w:lastRenderedPageBreak/>
        <w:t>současnosti asi 469 miliard dolarů, což odpovídá zhruba dvěma čtvrtletím globální investiční aktivity). A na trhu s nemovitostmi jsme překvapivě zaznamenali pozitivní úroveň likvidity, přičemž jedno německé aktivum přilákalo při nedávném prodeji více než 20 nabídek,“</w:t>
      </w:r>
      <w:r w:rsidRPr="002C5176">
        <w:t xml:space="preserve"> uzavírá </w:t>
      </w:r>
      <w:r w:rsidR="00BF63CC">
        <w:t xml:space="preserve">Kim </w:t>
      </w:r>
      <w:proofErr w:type="spellStart"/>
      <w:r w:rsidR="00BF63CC">
        <w:t>Politzer</w:t>
      </w:r>
      <w:proofErr w:type="spellEnd"/>
      <w:r w:rsidRPr="002C5176">
        <w:t xml:space="preserve"> z </w:t>
      </w:r>
      <w:proofErr w:type="spellStart"/>
      <w:r w:rsidRPr="002C5176">
        <w:t>Fidelity</w:t>
      </w:r>
      <w:proofErr w:type="spellEnd"/>
      <w:r w:rsidRPr="002C5176">
        <w:t xml:space="preserve"> International.</w:t>
      </w:r>
    </w:p>
    <w:p w14:paraId="7F854EEF" w14:textId="77777777" w:rsidR="002C5176" w:rsidRDefault="002C5176" w:rsidP="00770C0E">
      <w:pPr>
        <w:spacing w:after="210" w:line="276" w:lineRule="auto"/>
        <w:rPr>
          <w:i/>
          <w:iCs/>
        </w:rPr>
      </w:pPr>
      <w:r w:rsidRPr="002C5176">
        <w:rPr>
          <w:i/>
          <w:iCs/>
        </w:rPr>
        <w:t>„Rizika na evropském trhu – a pro evropské úvěrující banky, jsou omezená. Globální trh s nemovitostmi je sice nyní „v obležení“, ale „obranný příkop“ kolem evropských nemovitostí nabízí značnou ochranu.“</w:t>
      </w:r>
    </w:p>
    <w:p w14:paraId="4C48E8FA" w14:textId="77777777" w:rsidR="00484077" w:rsidRDefault="00484077" w:rsidP="00770C0E">
      <w:pPr>
        <w:pStyle w:val="F2-zkladn"/>
        <w:spacing w:line="276" w:lineRule="auto"/>
      </w:pPr>
    </w:p>
    <w:p w14:paraId="4310115F" w14:textId="77777777" w:rsidR="00484077" w:rsidRPr="00484077" w:rsidRDefault="00484077" w:rsidP="00770C0E">
      <w:pPr>
        <w:pStyle w:val="F2-zkladn"/>
        <w:spacing w:line="276" w:lineRule="auto"/>
      </w:pPr>
    </w:p>
    <w:p w14:paraId="2B880F11" w14:textId="1425B78E" w:rsidR="00484077" w:rsidRDefault="00484077" w:rsidP="00770C0E">
      <w:pPr>
        <w:spacing w:after="210" w:line="276" w:lineRule="auto"/>
      </w:pPr>
      <w:r>
        <w:rPr>
          <w:rFonts w:eastAsiaTheme="minorHAnsi"/>
          <w:b/>
          <w:lang w:eastAsia="en-US"/>
        </w:rPr>
        <w:t>Graf 3: Podíl úvěrů na nemovitosti na celkových úvěrech</w:t>
      </w:r>
    </w:p>
    <w:p w14:paraId="08187AC0" w14:textId="1FB0E7B4" w:rsidR="00832A31" w:rsidRDefault="00484077" w:rsidP="002C5176">
      <w:pPr>
        <w:spacing w:after="210" w:line="276" w:lineRule="auto"/>
      </w:pPr>
      <w:r w:rsidRPr="00484077">
        <w:rPr>
          <w:noProof/>
        </w:rPr>
        <w:drawing>
          <wp:inline distT="0" distB="0" distL="0" distR="0" wp14:anchorId="60B5A73A" wp14:editId="2E3C1396">
            <wp:extent cx="5759450" cy="3270250"/>
            <wp:effectExtent l="0" t="0" r="0" b="6350"/>
            <wp:docPr id="24146798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467986" name=""/>
                    <pic:cNvPicPr/>
                  </pic:nvPicPr>
                  <pic:blipFill>
                    <a:blip r:embed="rId14"/>
                    <a:stretch>
                      <a:fillRect/>
                    </a:stretch>
                  </pic:blipFill>
                  <pic:spPr>
                    <a:xfrm>
                      <a:off x="0" y="0"/>
                      <a:ext cx="5759450" cy="3270250"/>
                    </a:xfrm>
                    <a:prstGeom prst="rect">
                      <a:avLst/>
                    </a:prstGeom>
                  </pic:spPr>
                </pic:pic>
              </a:graphicData>
            </a:graphic>
          </wp:inline>
        </w:drawing>
      </w:r>
    </w:p>
    <w:p w14:paraId="06E71C98" w14:textId="719671BD" w:rsidR="00484077" w:rsidRPr="00484077" w:rsidRDefault="00484077" w:rsidP="00484077">
      <w:pPr>
        <w:pStyle w:val="F2-zkladn"/>
        <w:jc w:val="right"/>
        <w:rPr>
          <w:i/>
          <w:iCs/>
          <w:sz w:val="18"/>
          <w:szCs w:val="18"/>
        </w:rPr>
      </w:pPr>
      <w:r w:rsidRPr="00484077">
        <w:rPr>
          <w:i/>
          <w:iCs/>
          <w:sz w:val="18"/>
          <w:szCs w:val="18"/>
        </w:rPr>
        <w:t xml:space="preserve">Zdroj: </w:t>
      </w:r>
      <w:proofErr w:type="spellStart"/>
      <w:r w:rsidRPr="00484077">
        <w:rPr>
          <w:i/>
          <w:iCs/>
          <w:sz w:val="18"/>
          <w:szCs w:val="18"/>
        </w:rPr>
        <w:t>Company</w:t>
      </w:r>
      <w:proofErr w:type="spellEnd"/>
      <w:r w:rsidRPr="00484077">
        <w:rPr>
          <w:i/>
          <w:iCs/>
          <w:sz w:val="18"/>
          <w:szCs w:val="18"/>
        </w:rPr>
        <w:t xml:space="preserve"> data, </w:t>
      </w:r>
      <w:proofErr w:type="spellStart"/>
      <w:r w:rsidRPr="00484077">
        <w:rPr>
          <w:i/>
          <w:iCs/>
          <w:sz w:val="18"/>
          <w:szCs w:val="18"/>
        </w:rPr>
        <w:t>Barclays</w:t>
      </w:r>
      <w:proofErr w:type="spellEnd"/>
      <w:r w:rsidRPr="00484077">
        <w:rPr>
          <w:i/>
          <w:iCs/>
          <w:sz w:val="18"/>
          <w:szCs w:val="18"/>
        </w:rPr>
        <w:t xml:space="preserve"> </w:t>
      </w:r>
      <w:proofErr w:type="spellStart"/>
      <w:r w:rsidRPr="00484077">
        <w:rPr>
          <w:i/>
          <w:iCs/>
          <w:sz w:val="18"/>
          <w:szCs w:val="18"/>
        </w:rPr>
        <w:t>Research</w:t>
      </w:r>
      <w:proofErr w:type="spellEnd"/>
      <w:r w:rsidRPr="00484077">
        <w:rPr>
          <w:i/>
          <w:iCs/>
          <w:sz w:val="18"/>
          <w:szCs w:val="18"/>
        </w:rPr>
        <w:t xml:space="preserve">; </w:t>
      </w:r>
      <w:proofErr w:type="spellStart"/>
      <w:r w:rsidRPr="00484077">
        <w:rPr>
          <w:i/>
          <w:iCs/>
          <w:sz w:val="18"/>
          <w:szCs w:val="18"/>
        </w:rPr>
        <w:t>Fidelity</w:t>
      </w:r>
      <w:proofErr w:type="spellEnd"/>
      <w:r w:rsidRPr="00484077">
        <w:rPr>
          <w:i/>
          <w:iCs/>
          <w:sz w:val="18"/>
          <w:szCs w:val="18"/>
        </w:rPr>
        <w:t xml:space="preserve"> International, Březen 2023.</w:t>
      </w:r>
    </w:p>
    <w:p w14:paraId="0CBAB0F0" w14:textId="77777777" w:rsidR="006D0805" w:rsidRPr="00484077" w:rsidRDefault="006D0805" w:rsidP="006D0805">
      <w:pPr>
        <w:pStyle w:val="F2-zkladn"/>
        <w:rPr>
          <w:i/>
          <w:iCs/>
          <w:sz w:val="18"/>
          <w:szCs w:val="18"/>
        </w:rPr>
      </w:pPr>
    </w:p>
    <w:p w14:paraId="5B0A755F" w14:textId="686FB4EF" w:rsidR="00725052" w:rsidRPr="00971187" w:rsidRDefault="00725052" w:rsidP="002C1698">
      <w:pPr>
        <w:spacing w:before="0" w:line="240" w:lineRule="atLeast"/>
        <w:rPr>
          <w:color w:val="000000" w:themeColor="text1"/>
        </w:rPr>
      </w:pPr>
      <w:r w:rsidRPr="00455A3C">
        <w:rPr>
          <w:b/>
        </w:rPr>
        <w:t>Pro více informací kontaktujte:</w:t>
      </w:r>
    </w:p>
    <w:p w14:paraId="3B45AF67" w14:textId="77777777" w:rsidR="00725052" w:rsidRPr="00455A3C" w:rsidRDefault="00725052" w:rsidP="002027ED">
      <w:pPr>
        <w:spacing w:before="0" w:line="360" w:lineRule="auto"/>
        <w:rPr>
          <w:b/>
        </w:rPr>
      </w:pPr>
    </w:p>
    <w:p w14:paraId="7B66DFDA" w14:textId="77777777" w:rsidR="00725052" w:rsidRDefault="00725052" w:rsidP="002027ED">
      <w:pPr>
        <w:spacing w:before="0" w:line="240" w:lineRule="atLeast"/>
        <w:rPr>
          <w:b/>
        </w:rPr>
      </w:pPr>
      <w:r>
        <w:rPr>
          <w:b/>
        </w:rPr>
        <w:t xml:space="preserve">Eliška </w:t>
      </w:r>
      <w:proofErr w:type="spellStart"/>
      <w:r>
        <w:rPr>
          <w:b/>
        </w:rPr>
        <w:t>Krohová</w:t>
      </w:r>
      <w:proofErr w:type="spellEnd"/>
    </w:p>
    <w:p w14:paraId="34A69B71" w14:textId="77777777"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proofErr w:type="spellStart"/>
      <w:r>
        <w:t>gsm</w:t>
      </w:r>
      <w:proofErr w:type="spellEnd"/>
      <w:r>
        <w:t>: + 420 720 406 659</w:t>
      </w:r>
    </w:p>
    <w:p w14:paraId="4FD0B4A0" w14:textId="77777777" w:rsidR="000E2910" w:rsidRDefault="00725052" w:rsidP="002027ED">
      <w:pPr>
        <w:spacing w:before="0" w:line="240" w:lineRule="atLeast"/>
        <w:rPr>
          <w:rStyle w:val="Hyperlink"/>
        </w:rPr>
      </w:pPr>
      <w:r w:rsidRPr="00455A3C">
        <w:rPr>
          <w:color w:val="000000"/>
        </w:rPr>
        <w:t xml:space="preserve">e-mail: </w:t>
      </w:r>
      <w:hyperlink r:id="rId15" w:history="1">
        <w:r w:rsidRPr="00E23FD4">
          <w:rPr>
            <w:rStyle w:val="Hyperlink"/>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37250136" w14:textId="6309A254" w:rsidR="007F74CA" w:rsidRPr="002027ED" w:rsidRDefault="00D404D5" w:rsidP="002027ED">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 xml:space="preserve">byla založena v roce 1969 a poskytuje investiční služby a produkty soukromým a institucionálním investorům. Od ostatních globálních investičních společností se </w:t>
      </w:r>
      <w:proofErr w:type="gramStart"/>
      <w:r w:rsidRPr="00D404D5">
        <w:rPr>
          <w:color w:val="000000"/>
          <w:lang w:eastAsia="en-US"/>
        </w:rPr>
        <w:t>liší</w:t>
      </w:r>
      <w:proofErr w:type="gramEnd"/>
      <w:r w:rsidRPr="00D404D5">
        <w:rPr>
          <w:color w:val="000000"/>
          <w:lang w:eastAsia="en-US"/>
        </w:rPr>
        <w:t xml:space="preserve"> zejména formou </w:t>
      </w:r>
      <w:r w:rsidRPr="00D404D5">
        <w:rPr>
          <w:color w:val="000000"/>
          <w:lang w:eastAsia="en-US"/>
        </w:rPr>
        <w:lastRenderedPageBreak/>
        <w:t>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w:t>
      </w:r>
      <w:proofErr w:type="gramStart"/>
      <w:r w:rsidRPr="00D404D5">
        <w:rPr>
          <w:color w:val="000000"/>
          <w:lang w:eastAsia="en-US"/>
        </w:rPr>
        <w:t>patří</w:t>
      </w:r>
      <w:proofErr w:type="gramEnd"/>
      <w:r w:rsidRPr="00D404D5">
        <w:rPr>
          <w:color w:val="000000"/>
          <w:lang w:eastAsia="en-US"/>
        </w:rPr>
        <w:t xml:space="preserve">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129A4442" w14:textId="7777777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w:t>
      </w:r>
      <w:proofErr w:type="gramStart"/>
      <w:r>
        <w:t>tvoří</w:t>
      </w:r>
      <w:proofErr w:type="gramEnd"/>
      <w:r>
        <w:t xml:space="preserve">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6BC4A9D3"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lastRenderedPageBreak/>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4471B0D2"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58994F9D" w14:textId="43A40708"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6858294F" w14:textId="77777777" w:rsidR="006B4A52" w:rsidRPr="006B4A52" w:rsidRDefault="006B4A52" w:rsidP="006B4A52">
      <w:r w:rsidRPr="006B4A52">
        <w:t>MKAT11346</w:t>
      </w:r>
    </w:p>
    <w:p w14:paraId="63F04084" w14:textId="3E592876" w:rsidR="00594851" w:rsidRDefault="00594851" w:rsidP="002027ED">
      <w:pPr>
        <w:pStyle w:val="F2-zkladn"/>
      </w:pPr>
    </w:p>
    <w:p w14:paraId="0C902663" w14:textId="2E26E063" w:rsidR="00B42703" w:rsidRPr="00194285" w:rsidRDefault="00B42703" w:rsidP="002027ED">
      <w:pPr>
        <w:pStyle w:val="F2-zkladn"/>
        <w:rPr>
          <w:lang w:val="de-AT"/>
        </w:rPr>
      </w:pPr>
    </w:p>
    <w:sectPr w:rsidR="00B42703" w:rsidRPr="00194285" w:rsidSect="002F1160">
      <w:headerReference w:type="default" r:id="rId16"/>
      <w:footerReference w:type="default" r:id="rId17"/>
      <w:headerReference w:type="first" r:id="rId18"/>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740D0" w14:textId="77777777" w:rsidR="0024760D" w:rsidRDefault="0024760D">
      <w:r>
        <w:separator/>
      </w:r>
    </w:p>
  </w:endnote>
  <w:endnote w:type="continuationSeparator" w:id="0">
    <w:p w14:paraId="527FD06D" w14:textId="77777777" w:rsidR="0024760D" w:rsidRDefault="00247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D24B6" w14:textId="77777777" w:rsidR="0024760D" w:rsidRDefault="0024760D">
      <w:r>
        <w:separator/>
      </w:r>
    </w:p>
  </w:footnote>
  <w:footnote w:type="continuationSeparator" w:id="0">
    <w:p w14:paraId="043C17F5" w14:textId="77777777" w:rsidR="0024760D" w:rsidRDefault="0024760D">
      <w:r>
        <w:continuationSeparator/>
      </w:r>
    </w:p>
  </w:footnote>
  <w:footnote w:type="continuationNotice" w:id="1">
    <w:p w14:paraId="2A2E9A69" w14:textId="77777777" w:rsidR="0024760D" w:rsidRDefault="002476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A00C" w14:textId="77777777" w:rsidR="001D1343" w:rsidRDefault="0018797C">
    <w:pPr>
      <w:pStyle w:val="Header"/>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Header"/>
    </w:pPr>
  </w:p>
  <w:p w14:paraId="37BBE7A7" w14:textId="77777777" w:rsidR="001D1343" w:rsidRDefault="001D1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ArticleSection"/>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4"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5"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0"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1"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73703941">
    <w:abstractNumId w:val="14"/>
  </w:num>
  <w:num w:numId="2" w16cid:durableId="1638339720">
    <w:abstractNumId w:val="20"/>
  </w:num>
  <w:num w:numId="3" w16cid:durableId="1582174134">
    <w:abstractNumId w:val="22"/>
  </w:num>
  <w:num w:numId="4" w16cid:durableId="1727561179">
    <w:abstractNumId w:val="16"/>
  </w:num>
  <w:num w:numId="5" w16cid:durableId="56979214">
    <w:abstractNumId w:val="17"/>
  </w:num>
  <w:num w:numId="6" w16cid:durableId="52699439">
    <w:abstractNumId w:val="15"/>
  </w:num>
  <w:num w:numId="7" w16cid:durableId="1526748972">
    <w:abstractNumId w:val="21"/>
  </w:num>
  <w:num w:numId="8" w16cid:durableId="1090007024">
    <w:abstractNumId w:val="18"/>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3"/>
  </w:num>
  <w:num w:numId="21" w16cid:durableId="1552955819">
    <w:abstractNumId w:val="19"/>
  </w:num>
  <w:num w:numId="22" w16cid:durableId="1722094048">
    <w:abstractNumId w:val="12"/>
  </w:num>
  <w:num w:numId="23" w16cid:durableId="1472819905">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353E"/>
    <w:rsid w:val="00005C47"/>
    <w:rsid w:val="000064D6"/>
    <w:rsid w:val="00006E35"/>
    <w:rsid w:val="00011BEC"/>
    <w:rsid w:val="00013232"/>
    <w:rsid w:val="00016492"/>
    <w:rsid w:val="00017E0A"/>
    <w:rsid w:val="00021D97"/>
    <w:rsid w:val="000237A9"/>
    <w:rsid w:val="00026B23"/>
    <w:rsid w:val="00032CD3"/>
    <w:rsid w:val="00033378"/>
    <w:rsid w:val="0003583E"/>
    <w:rsid w:val="00035DD6"/>
    <w:rsid w:val="000363FF"/>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564A3"/>
    <w:rsid w:val="00061775"/>
    <w:rsid w:val="00062BEA"/>
    <w:rsid w:val="00063F4E"/>
    <w:rsid w:val="00065B2F"/>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3CB"/>
    <w:rsid w:val="000A755E"/>
    <w:rsid w:val="000B0FBB"/>
    <w:rsid w:val="000B2426"/>
    <w:rsid w:val="000B39A5"/>
    <w:rsid w:val="000B57A2"/>
    <w:rsid w:val="000B5A2B"/>
    <w:rsid w:val="000C0E0E"/>
    <w:rsid w:val="000C17C8"/>
    <w:rsid w:val="000C4D6D"/>
    <w:rsid w:val="000C5471"/>
    <w:rsid w:val="000C727D"/>
    <w:rsid w:val="000C772F"/>
    <w:rsid w:val="000D25CC"/>
    <w:rsid w:val="000D3C66"/>
    <w:rsid w:val="000D580F"/>
    <w:rsid w:val="000E2910"/>
    <w:rsid w:val="000E3678"/>
    <w:rsid w:val="000E3D98"/>
    <w:rsid w:val="000E42A1"/>
    <w:rsid w:val="000E5D25"/>
    <w:rsid w:val="000E7418"/>
    <w:rsid w:val="000F0587"/>
    <w:rsid w:val="000F1AE6"/>
    <w:rsid w:val="000F2443"/>
    <w:rsid w:val="000F274E"/>
    <w:rsid w:val="000F27E1"/>
    <w:rsid w:val="000F330C"/>
    <w:rsid w:val="000F4953"/>
    <w:rsid w:val="000F5BBC"/>
    <w:rsid w:val="000F75AD"/>
    <w:rsid w:val="000F7C86"/>
    <w:rsid w:val="0010078F"/>
    <w:rsid w:val="00111B20"/>
    <w:rsid w:val="00112C69"/>
    <w:rsid w:val="00112D51"/>
    <w:rsid w:val="00113408"/>
    <w:rsid w:val="00113C5A"/>
    <w:rsid w:val="00113E5E"/>
    <w:rsid w:val="0011458C"/>
    <w:rsid w:val="00114722"/>
    <w:rsid w:val="001169F2"/>
    <w:rsid w:val="00117D27"/>
    <w:rsid w:val="00121FAB"/>
    <w:rsid w:val="0012308F"/>
    <w:rsid w:val="00127396"/>
    <w:rsid w:val="00130E22"/>
    <w:rsid w:val="00131E29"/>
    <w:rsid w:val="00134A55"/>
    <w:rsid w:val="00137FDE"/>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2511"/>
    <w:rsid w:val="00172F1C"/>
    <w:rsid w:val="0017506A"/>
    <w:rsid w:val="00177E1C"/>
    <w:rsid w:val="00177E5E"/>
    <w:rsid w:val="0018406F"/>
    <w:rsid w:val="0018525E"/>
    <w:rsid w:val="0018797C"/>
    <w:rsid w:val="00193268"/>
    <w:rsid w:val="00193655"/>
    <w:rsid w:val="00193CC3"/>
    <w:rsid w:val="00194285"/>
    <w:rsid w:val="00194945"/>
    <w:rsid w:val="00197E01"/>
    <w:rsid w:val="001A085A"/>
    <w:rsid w:val="001A0CB6"/>
    <w:rsid w:val="001A1B9B"/>
    <w:rsid w:val="001A3CA7"/>
    <w:rsid w:val="001A4AA9"/>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7AB"/>
    <w:rsid w:val="001E67FF"/>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4347"/>
    <w:rsid w:val="00224EAE"/>
    <w:rsid w:val="00225670"/>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3A0"/>
    <w:rsid w:val="00245331"/>
    <w:rsid w:val="0024760D"/>
    <w:rsid w:val="002476C8"/>
    <w:rsid w:val="00252C08"/>
    <w:rsid w:val="002548DB"/>
    <w:rsid w:val="00255E9C"/>
    <w:rsid w:val="00256692"/>
    <w:rsid w:val="00257859"/>
    <w:rsid w:val="0026336D"/>
    <w:rsid w:val="00267F47"/>
    <w:rsid w:val="002746C8"/>
    <w:rsid w:val="00274B2A"/>
    <w:rsid w:val="00276830"/>
    <w:rsid w:val="002772EA"/>
    <w:rsid w:val="00277457"/>
    <w:rsid w:val="0028058D"/>
    <w:rsid w:val="0028110E"/>
    <w:rsid w:val="0028168C"/>
    <w:rsid w:val="00282531"/>
    <w:rsid w:val="00283AE5"/>
    <w:rsid w:val="00284C66"/>
    <w:rsid w:val="0029073F"/>
    <w:rsid w:val="00291676"/>
    <w:rsid w:val="00291E39"/>
    <w:rsid w:val="00292C1D"/>
    <w:rsid w:val="00293679"/>
    <w:rsid w:val="00296721"/>
    <w:rsid w:val="00296E4C"/>
    <w:rsid w:val="00297E46"/>
    <w:rsid w:val="002A0553"/>
    <w:rsid w:val="002A3111"/>
    <w:rsid w:val="002A44A9"/>
    <w:rsid w:val="002A4D2E"/>
    <w:rsid w:val="002B0AFD"/>
    <w:rsid w:val="002B0B15"/>
    <w:rsid w:val="002B14B5"/>
    <w:rsid w:val="002B2991"/>
    <w:rsid w:val="002B3C38"/>
    <w:rsid w:val="002B5926"/>
    <w:rsid w:val="002B6FCD"/>
    <w:rsid w:val="002B72A2"/>
    <w:rsid w:val="002B7380"/>
    <w:rsid w:val="002B7901"/>
    <w:rsid w:val="002C1698"/>
    <w:rsid w:val="002C2049"/>
    <w:rsid w:val="002C50AC"/>
    <w:rsid w:val="002C5176"/>
    <w:rsid w:val="002C6682"/>
    <w:rsid w:val="002D0CC4"/>
    <w:rsid w:val="002D0CD4"/>
    <w:rsid w:val="002D22C6"/>
    <w:rsid w:val="002D28A9"/>
    <w:rsid w:val="002D7CBC"/>
    <w:rsid w:val="002E497E"/>
    <w:rsid w:val="002E76D1"/>
    <w:rsid w:val="002F0500"/>
    <w:rsid w:val="002F1160"/>
    <w:rsid w:val="002F7A8F"/>
    <w:rsid w:val="00301881"/>
    <w:rsid w:val="00303102"/>
    <w:rsid w:val="00307253"/>
    <w:rsid w:val="00307E7E"/>
    <w:rsid w:val="00310E2F"/>
    <w:rsid w:val="003177AF"/>
    <w:rsid w:val="00320015"/>
    <w:rsid w:val="00321AE8"/>
    <w:rsid w:val="00322CF1"/>
    <w:rsid w:val="00327439"/>
    <w:rsid w:val="003274DC"/>
    <w:rsid w:val="00327F8D"/>
    <w:rsid w:val="003301F8"/>
    <w:rsid w:val="00330746"/>
    <w:rsid w:val="00331400"/>
    <w:rsid w:val="003322D8"/>
    <w:rsid w:val="003343C4"/>
    <w:rsid w:val="00334497"/>
    <w:rsid w:val="00340CA2"/>
    <w:rsid w:val="00341E98"/>
    <w:rsid w:val="00347B43"/>
    <w:rsid w:val="0035034F"/>
    <w:rsid w:val="003524F1"/>
    <w:rsid w:val="00352F7A"/>
    <w:rsid w:val="00356DCD"/>
    <w:rsid w:val="0036129D"/>
    <w:rsid w:val="00364C9F"/>
    <w:rsid w:val="00366ABC"/>
    <w:rsid w:val="00370EB8"/>
    <w:rsid w:val="00371045"/>
    <w:rsid w:val="00371B42"/>
    <w:rsid w:val="00372D58"/>
    <w:rsid w:val="003731A5"/>
    <w:rsid w:val="003736DA"/>
    <w:rsid w:val="00373731"/>
    <w:rsid w:val="003751F0"/>
    <w:rsid w:val="0037564F"/>
    <w:rsid w:val="00382A16"/>
    <w:rsid w:val="00384699"/>
    <w:rsid w:val="003866DC"/>
    <w:rsid w:val="003872AC"/>
    <w:rsid w:val="003900AC"/>
    <w:rsid w:val="00390999"/>
    <w:rsid w:val="003911D6"/>
    <w:rsid w:val="00391EEB"/>
    <w:rsid w:val="00394B7B"/>
    <w:rsid w:val="00395B87"/>
    <w:rsid w:val="00397E34"/>
    <w:rsid w:val="003A0565"/>
    <w:rsid w:val="003A0BB4"/>
    <w:rsid w:val="003A2CC7"/>
    <w:rsid w:val="003A415C"/>
    <w:rsid w:val="003A68DD"/>
    <w:rsid w:val="003A75FD"/>
    <w:rsid w:val="003A7DAF"/>
    <w:rsid w:val="003B3BF6"/>
    <w:rsid w:val="003B4278"/>
    <w:rsid w:val="003B6B7E"/>
    <w:rsid w:val="003C06F7"/>
    <w:rsid w:val="003C1594"/>
    <w:rsid w:val="003C19B7"/>
    <w:rsid w:val="003C4059"/>
    <w:rsid w:val="003C50F1"/>
    <w:rsid w:val="003C511D"/>
    <w:rsid w:val="003C6392"/>
    <w:rsid w:val="003C681A"/>
    <w:rsid w:val="003C7010"/>
    <w:rsid w:val="003C7DAE"/>
    <w:rsid w:val="003D2083"/>
    <w:rsid w:val="003D2B0F"/>
    <w:rsid w:val="003D626C"/>
    <w:rsid w:val="003E03EB"/>
    <w:rsid w:val="003E0642"/>
    <w:rsid w:val="003E136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4077"/>
    <w:rsid w:val="00484668"/>
    <w:rsid w:val="004863EC"/>
    <w:rsid w:val="00487542"/>
    <w:rsid w:val="0049074E"/>
    <w:rsid w:val="004907F4"/>
    <w:rsid w:val="00493172"/>
    <w:rsid w:val="004955BB"/>
    <w:rsid w:val="004A0EA9"/>
    <w:rsid w:val="004A3C5B"/>
    <w:rsid w:val="004A461C"/>
    <w:rsid w:val="004A47DC"/>
    <w:rsid w:val="004A52B6"/>
    <w:rsid w:val="004B29BE"/>
    <w:rsid w:val="004B366C"/>
    <w:rsid w:val="004B3A45"/>
    <w:rsid w:val="004B4063"/>
    <w:rsid w:val="004B4F7D"/>
    <w:rsid w:val="004B4F84"/>
    <w:rsid w:val="004B5505"/>
    <w:rsid w:val="004B55E8"/>
    <w:rsid w:val="004B5CB6"/>
    <w:rsid w:val="004C2FA8"/>
    <w:rsid w:val="004C3497"/>
    <w:rsid w:val="004C352C"/>
    <w:rsid w:val="004C3BA7"/>
    <w:rsid w:val="004C5035"/>
    <w:rsid w:val="004D1014"/>
    <w:rsid w:val="004D3633"/>
    <w:rsid w:val="004E1CB1"/>
    <w:rsid w:val="004E2D7E"/>
    <w:rsid w:val="004E4B6A"/>
    <w:rsid w:val="004E6300"/>
    <w:rsid w:val="004F1DDB"/>
    <w:rsid w:val="004F2995"/>
    <w:rsid w:val="004F324F"/>
    <w:rsid w:val="004F4064"/>
    <w:rsid w:val="004F5136"/>
    <w:rsid w:val="004F688F"/>
    <w:rsid w:val="004F7624"/>
    <w:rsid w:val="005007C8"/>
    <w:rsid w:val="005021C7"/>
    <w:rsid w:val="00502D84"/>
    <w:rsid w:val="00505FAA"/>
    <w:rsid w:val="00506ACA"/>
    <w:rsid w:val="00506CD0"/>
    <w:rsid w:val="005107FD"/>
    <w:rsid w:val="00510980"/>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20B4"/>
    <w:rsid w:val="005437B4"/>
    <w:rsid w:val="0054471F"/>
    <w:rsid w:val="00544A64"/>
    <w:rsid w:val="005459F5"/>
    <w:rsid w:val="00545B68"/>
    <w:rsid w:val="00546CB9"/>
    <w:rsid w:val="00546DF7"/>
    <w:rsid w:val="0055121B"/>
    <w:rsid w:val="00552B6E"/>
    <w:rsid w:val="00556D4F"/>
    <w:rsid w:val="00557A71"/>
    <w:rsid w:val="00560AED"/>
    <w:rsid w:val="0056231D"/>
    <w:rsid w:val="005623DD"/>
    <w:rsid w:val="00563B23"/>
    <w:rsid w:val="0056452E"/>
    <w:rsid w:val="005656FB"/>
    <w:rsid w:val="00567010"/>
    <w:rsid w:val="005678EB"/>
    <w:rsid w:val="00570CA6"/>
    <w:rsid w:val="00570F18"/>
    <w:rsid w:val="0057123D"/>
    <w:rsid w:val="005720AF"/>
    <w:rsid w:val="0057387E"/>
    <w:rsid w:val="00576443"/>
    <w:rsid w:val="00583941"/>
    <w:rsid w:val="005847DC"/>
    <w:rsid w:val="005856EF"/>
    <w:rsid w:val="00585CC6"/>
    <w:rsid w:val="00591893"/>
    <w:rsid w:val="00592351"/>
    <w:rsid w:val="00593457"/>
    <w:rsid w:val="00594851"/>
    <w:rsid w:val="00594C42"/>
    <w:rsid w:val="00594CEF"/>
    <w:rsid w:val="00596841"/>
    <w:rsid w:val="0059684A"/>
    <w:rsid w:val="005A0345"/>
    <w:rsid w:val="005A0903"/>
    <w:rsid w:val="005A1633"/>
    <w:rsid w:val="005A2203"/>
    <w:rsid w:val="005A25B7"/>
    <w:rsid w:val="005A26EE"/>
    <w:rsid w:val="005A33F3"/>
    <w:rsid w:val="005A3C0F"/>
    <w:rsid w:val="005A3EC1"/>
    <w:rsid w:val="005A5AB1"/>
    <w:rsid w:val="005A658B"/>
    <w:rsid w:val="005B1B79"/>
    <w:rsid w:val="005B2F2A"/>
    <w:rsid w:val="005B6F85"/>
    <w:rsid w:val="005C00A9"/>
    <w:rsid w:val="005C4078"/>
    <w:rsid w:val="005C5B2D"/>
    <w:rsid w:val="005C74D1"/>
    <w:rsid w:val="005C7C7C"/>
    <w:rsid w:val="005D0735"/>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4AE2"/>
    <w:rsid w:val="00624DDA"/>
    <w:rsid w:val="00627B44"/>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1FF2"/>
    <w:rsid w:val="00662C87"/>
    <w:rsid w:val="0066345D"/>
    <w:rsid w:val="00670027"/>
    <w:rsid w:val="00675EB3"/>
    <w:rsid w:val="00676843"/>
    <w:rsid w:val="00677228"/>
    <w:rsid w:val="006801CA"/>
    <w:rsid w:val="00680B56"/>
    <w:rsid w:val="00682746"/>
    <w:rsid w:val="00683717"/>
    <w:rsid w:val="00684132"/>
    <w:rsid w:val="00685B75"/>
    <w:rsid w:val="006867CC"/>
    <w:rsid w:val="00690740"/>
    <w:rsid w:val="00690C50"/>
    <w:rsid w:val="00692EE8"/>
    <w:rsid w:val="00694CCF"/>
    <w:rsid w:val="0069509B"/>
    <w:rsid w:val="00696362"/>
    <w:rsid w:val="006A04AE"/>
    <w:rsid w:val="006A0E52"/>
    <w:rsid w:val="006A25B4"/>
    <w:rsid w:val="006A30DB"/>
    <w:rsid w:val="006A3949"/>
    <w:rsid w:val="006A4A62"/>
    <w:rsid w:val="006A7552"/>
    <w:rsid w:val="006B01B9"/>
    <w:rsid w:val="006B0439"/>
    <w:rsid w:val="006B0D10"/>
    <w:rsid w:val="006B0EC2"/>
    <w:rsid w:val="006B13D4"/>
    <w:rsid w:val="006B3ABE"/>
    <w:rsid w:val="006B4A52"/>
    <w:rsid w:val="006B5383"/>
    <w:rsid w:val="006B6A37"/>
    <w:rsid w:val="006B6F61"/>
    <w:rsid w:val="006D0805"/>
    <w:rsid w:val="006D4517"/>
    <w:rsid w:val="006D7B5A"/>
    <w:rsid w:val="006E1E9E"/>
    <w:rsid w:val="006E4279"/>
    <w:rsid w:val="006E4913"/>
    <w:rsid w:val="006E5555"/>
    <w:rsid w:val="006E5B47"/>
    <w:rsid w:val="006E7DAC"/>
    <w:rsid w:val="006F15CC"/>
    <w:rsid w:val="006F1CCA"/>
    <w:rsid w:val="006F2C0E"/>
    <w:rsid w:val="006F4F09"/>
    <w:rsid w:val="006F640B"/>
    <w:rsid w:val="0070043C"/>
    <w:rsid w:val="007046FB"/>
    <w:rsid w:val="00705A61"/>
    <w:rsid w:val="00710424"/>
    <w:rsid w:val="007109F6"/>
    <w:rsid w:val="00713F83"/>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7027"/>
    <w:rsid w:val="0073000D"/>
    <w:rsid w:val="0073022F"/>
    <w:rsid w:val="00731F2B"/>
    <w:rsid w:val="00734AFD"/>
    <w:rsid w:val="00735E32"/>
    <w:rsid w:val="00736BEA"/>
    <w:rsid w:val="00740095"/>
    <w:rsid w:val="00742862"/>
    <w:rsid w:val="00745DD0"/>
    <w:rsid w:val="00746455"/>
    <w:rsid w:val="00746F96"/>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405C"/>
    <w:rsid w:val="00785A6D"/>
    <w:rsid w:val="00786B68"/>
    <w:rsid w:val="00792CC3"/>
    <w:rsid w:val="007947C6"/>
    <w:rsid w:val="00794CF3"/>
    <w:rsid w:val="00794E4C"/>
    <w:rsid w:val="00795109"/>
    <w:rsid w:val="0079614E"/>
    <w:rsid w:val="007A0160"/>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6974"/>
    <w:rsid w:val="007D7780"/>
    <w:rsid w:val="007E06B8"/>
    <w:rsid w:val="007E0A4B"/>
    <w:rsid w:val="007E326A"/>
    <w:rsid w:val="007E3EDF"/>
    <w:rsid w:val="007E541D"/>
    <w:rsid w:val="007F1637"/>
    <w:rsid w:val="007F1B11"/>
    <w:rsid w:val="007F1FBA"/>
    <w:rsid w:val="007F4ABD"/>
    <w:rsid w:val="007F7212"/>
    <w:rsid w:val="007F74CA"/>
    <w:rsid w:val="007F7B5C"/>
    <w:rsid w:val="00800307"/>
    <w:rsid w:val="00800365"/>
    <w:rsid w:val="00800399"/>
    <w:rsid w:val="008014EC"/>
    <w:rsid w:val="008029BA"/>
    <w:rsid w:val="008075EA"/>
    <w:rsid w:val="008111C3"/>
    <w:rsid w:val="00812CF5"/>
    <w:rsid w:val="00813471"/>
    <w:rsid w:val="00814198"/>
    <w:rsid w:val="00814390"/>
    <w:rsid w:val="00814679"/>
    <w:rsid w:val="00814849"/>
    <w:rsid w:val="00821F46"/>
    <w:rsid w:val="00822050"/>
    <w:rsid w:val="00822B92"/>
    <w:rsid w:val="00825D4F"/>
    <w:rsid w:val="00827DBA"/>
    <w:rsid w:val="00830D57"/>
    <w:rsid w:val="00832A31"/>
    <w:rsid w:val="00835916"/>
    <w:rsid w:val="0083650C"/>
    <w:rsid w:val="0084045B"/>
    <w:rsid w:val="00841B72"/>
    <w:rsid w:val="0084658D"/>
    <w:rsid w:val="0084695E"/>
    <w:rsid w:val="00850650"/>
    <w:rsid w:val="008524C4"/>
    <w:rsid w:val="0085268C"/>
    <w:rsid w:val="00854ABD"/>
    <w:rsid w:val="00856ED6"/>
    <w:rsid w:val="00864A50"/>
    <w:rsid w:val="00865C11"/>
    <w:rsid w:val="00866290"/>
    <w:rsid w:val="00866978"/>
    <w:rsid w:val="00866D9F"/>
    <w:rsid w:val="00871D3C"/>
    <w:rsid w:val="00872129"/>
    <w:rsid w:val="00872DC6"/>
    <w:rsid w:val="008730BC"/>
    <w:rsid w:val="00874D66"/>
    <w:rsid w:val="0087590B"/>
    <w:rsid w:val="00877D54"/>
    <w:rsid w:val="0088208A"/>
    <w:rsid w:val="00882EAC"/>
    <w:rsid w:val="0088306B"/>
    <w:rsid w:val="008874FC"/>
    <w:rsid w:val="0088798F"/>
    <w:rsid w:val="00890B69"/>
    <w:rsid w:val="008936B3"/>
    <w:rsid w:val="008958D8"/>
    <w:rsid w:val="008976A7"/>
    <w:rsid w:val="008A0E63"/>
    <w:rsid w:val="008A2257"/>
    <w:rsid w:val="008A33CE"/>
    <w:rsid w:val="008B1F88"/>
    <w:rsid w:val="008B298E"/>
    <w:rsid w:val="008B31D3"/>
    <w:rsid w:val="008B333F"/>
    <w:rsid w:val="008B383F"/>
    <w:rsid w:val="008B38AD"/>
    <w:rsid w:val="008B3FBF"/>
    <w:rsid w:val="008B44DA"/>
    <w:rsid w:val="008B4A06"/>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900CE5"/>
    <w:rsid w:val="00902C6A"/>
    <w:rsid w:val="00904CA9"/>
    <w:rsid w:val="00905911"/>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5A6"/>
    <w:rsid w:val="00950C28"/>
    <w:rsid w:val="00951993"/>
    <w:rsid w:val="00953E57"/>
    <w:rsid w:val="00954CC0"/>
    <w:rsid w:val="00955C25"/>
    <w:rsid w:val="00956BB5"/>
    <w:rsid w:val="00957676"/>
    <w:rsid w:val="009621B2"/>
    <w:rsid w:val="00963A1A"/>
    <w:rsid w:val="00964590"/>
    <w:rsid w:val="0096654A"/>
    <w:rsid w:val="00971187"/>
    <w:rsid w:val="00971196"/>
    <w:rsid w:val="00973755"/>
    <w:rsid w:val="00980736"/>
    <w:rsid w:val="00981704"/>
    <w:rsid w:val="0098182C"/>
    <w:rsid w:val="00983F39"/>
    <w:rsid w:val="00984390"/>
    <w:rsid w:val="00985839"/>
    <w:rsid w:val="00992952"/>
    <w:rsid w:val="00992D61"/>
    <w:rsid w:val="00995C91"/>
    <w:rsid w:val="00995EE7"/>
    <w:rsid w:val="00996BF1"/>
    <w:rsid w:val="00997009"/>
    <w:rsid w:val="0099745E"/>
    <w:rsid w:val="009A03A3"/>
    <w:rsid w:val="009A2ACF"/>
    <w:rsid w:val="009A481E"/>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B4"/>
    <w:rsid w:val="009C3F13"/>
    <w:rsid w:val="009C5A80"/>
    <w:rsid w:val="009C7C8F"/>
    <w:rsid w:val="009D0450"/>
    <w:rsid w:val="009D1594"/>
    <w:rsid w:val="009D1FBA"/>
    <w:rsid w:val="009D332F"/>
    <w:rsid w:val="009D580B"/>
    <w:rsid w:val="009D6294"/>
    <w:rsid w:val="009E6ACF"/>
    <w:rsid w:val="009F0C32"/>
    <w:rsid w:val="009F461F"/>
    <w:rsid w:val="00A006D3"/>
    <w:rsid w:val="00A01305"/>
    <w:rsid w:val="00A01EEF"/>
    <w:rsid w:val="00A0259C"/>
    <w:rsid w:val="00A036CB"/>
    <w:rsid w:val="00A0546A"/>
    <w:rsid w:val="00A061CA"/>
    <w:rsid w:val="00A06AAA"/>
    <w:rsid w:val="00A10E38"/>
    <w:rsid w:val="00A135B3"/>
    <w:rsid w:val="00A1434D"/>
    <w:rsid w:val="00A14953"/>
    <w:rsid w:val="00A167B9"/>
    <w:rsid w:val="00A176A1"/>
    <w:rsid w:val="00A17DB5"/>
    <w:rsid w:val="00A20A09"/>
    <w:rsid w:val="00A20C64"/>
    <w:rsid w:val="00A22A14"/>
    <w:rsid w:val="00A23526"/>
    <w:rsid w:val="00A27149"/>
    <w:rsid w:val="00A2793B"/>
    <w:rsid w:val="00A30105"/>
    <w:rsid w:val="00A31ADE"/>
    <w:rsid w:val="00A35D3C"/>
    <w:rsid w:val="00A3616F"/>
    <w:rsid w:val="00A41C95"/>
    <w:rsid w:val="00A442F1"/>
    <w:rsid w:val="00A46ABD"/>
    <w:rsid w:val="00A46C18"/>
    <w:rsid w:val="00A470CE"/>
    <w:rsid w:val="00A50344"/>
    <w:rsid w:val="00A503E9"/>
    <w:rsid w:val="00A50E65"/>
    <w:rsid w:val="00A52E2E"/>
    <w:rsid w:val="00A5613C"/>
    <w:rsid w:val="00A570EE"/>
    <w:rsid w:val="00A57C48"/>
    <w:rsid w:val="00A57EB2"/>
    <w:rsid w:val="00A62463"/>
    <w:rsid w:val="00A6391E"/>
    <w:rsid w:val="00A649D3"/>
    <w:rsid w:val="00A656FD"/>
    <w:rsid w:val="00A6645C"/>
    <w:rsid w:val="00A70863"/>
    <w:rsid w:val="00A727FC"/>
    <w:rsid w:val="00A72E35"/>
    <w:rsid w:val="00A7300A"/>
    <w:rsid w:val="00A7414F"/>
    <w:rsid w:val="00A7627C"/>
    <w:rsid w:val="00A81405"/>
    <w:rsid w:val="00A82114"/>
    <w:rsid w:val="00A82FF0"/>
    <w:rsid w:val="00A92670"/>
    <w:rsid w:val="00A96434"/>
    <w:rsid w:val="00AA2944"/>
    <w:rsid w:val="00AA3179"/>
    <w:rsid w:val="00AB1635"/>
    <w:rsid w:val="00AB297D"/>
    <w:rsid w:val="00AB7830"/>
    <w:rsid w:val="00AC031E"/>
    <w:rsid w:val="00AC31F2"/>
    <w:rsid w:val="00AC35C4"/>
    <w:rsid w:val="00AC4154"/>
    <w:rsid w:val="00AD18B4"/>
    <w:rsid w:val="00AD4FB0"/>
    <w:rsid w:val="00AD7F13"/>
    <w:rsid w:val="00AE117D"/>
    <w:rsid w:val="00AE1842"/>
    <w:rsid w:val="00AE1843"/>
    <w:rsid w:val="00AE23F9"/>
    <w:rsid w:val="00AE2430"/>
    <w:rsid w:val="00AE4000"/>
    <w:rsid w:val="00AE52CE"/>
    <w:rsid w:val="00AE5452"/>
    <w:rsid w:val="00AE6188"/>
    <w:rsid w:val="00AE7AF0"/>
    <w:rsid w:val="00AF4AE5"/>
    <w:rsid w:val="00AF6D11"/>
    <w:rsid w:val="00B01B17"/>
    <w:rsid w:val="00B04103"/>
    <w:rsid w:val="00B047E9"/>
    <w:rsid w:val="00B05867"/>
    <w:rsid w:val="00B07BDD"/>
    <w:rsid w:val="00B10EC0"/>
    <w:rsid w:val="00B123FF"/>
    <w:rsid w:val="00B134B6"/>
    <w:rsid w:val="00B142F4"/>
    <w:rsid w:val="00B1645D"/>
    <w:rsid w:val="00B16CC2"/>
    <w:rsid w:val="00B17E1E"/>
    <w:rsid w:val="00B21C56"/>
    <w:rsid w:val="00B24AE7"/>
    <w:rsid w:val="00B25103"/>
    <w:rsid w:val="00B27A8F"/>
    <w:rsid w:val="00B27B2E"/>
    <w:rsid w:val="00B31D2B"/>
    <w:rsid w:val="00B31E2C"/>
    <w:rsid w:val="00B336AA"/>
    <w:rsid w:val="00B34173"/>
    <w:rsid w:val="00B362ED"/>
    <w:rsid w:val="00B4166B"/>
    <w:rsid w:val="00B418ED"/>
    <w:rsid w:val="00B42703"/>
    <w:rsid w:val="00B43502"/>
    <w:rsid w:val="00B4391E"/>
    <w:rsid w:val="00B46384"/>
    <w:rsid w:val="00B513B4"/>
    <w:rsid w:val="00B514DC"/>
    <w:rsid w:val="00B522AA"/>
    <w:rsid w:val="00B60A84"/>
    <w:rsid w:val="00B60AED"/>
    <w:rsid w:val="00B60B0D"/>
    <w:rsid w:val="00B627D5"/>
    <w:rsid w:val="00B62AB3"/>
    <w:rsid w:val="00B63B5B"/>
    <w:rsid w:val="00B64E9D"/>
    <w:rsid w:val="00B678D4"/>
    <w:rsid w:val="00B708E8"/>
    <w:rsid w:val="00B7404A"/>
    <w:rsid w:val="00B75AC6"/>
    <w:rsid w:val="00B81F91"/>
    <w:rsid w:val="00B839BA"/>
    <w:rsid w:val="00B8685C"/>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4F1"/>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FA9"/>
    <w:rsid w:val="00BF7497"/>
    <w:rsid w:val="00BF7C90"/>
    <w:rsid w:val="00C02033"/>
    <w:rsid w:val="00C05FD9"/>
    <w:rsid w:val="00C06BBC"/>
    <w:rsid w:val="00C06C54"/>
    <w:rsid w:val="00C07949"/>
    <w:rsid w:val="00C105ED"/>
    <w:rsid w:val="00C109F0"/>
    <w:rsid w:val="00C11925"/>
    <w:rsid w:val="00C120C1"/>
    <w:rsid w:val="00C13AC2"/>
    <w:rsid w:val="00C16BE6"/>
    <w:rsid w:val="00C20BEA"/>
    <w:rsid w:val="00C21E38"/>
    <w:rsid w:val="00C2433C"/>
    <w:rsid w:val="00C24C84"/>
    <w:rsid w:val="00C24D43"/>
    <w:rsid w:val="00C26014"/>
    <w:rsid w:val="00C264F8"/>
    <w:rsid w:val="00C27D23"/>
    <w:rsid w:val="00C31313"/>
    <w:rsid w:val="00C32874"/>
    <w:rsid w:val="00C37286"/>
    <w:rsid w:val="00C41668"/>
    <w:rsid w:val="00C43488"/>
    <w:rsid w:val="00C44F7A"/>
    <w:rsid w:val="00C45666"/>
    <w:rsid w:val="00C47754"/>
    <w:rsid w:val="00C47D30"/>
    <w:rsid w:val="00C500E2"/>
    <w:rsid w:val="00C5024B"/>
    <w:rsid w:val="00C557BA"/>
    <w:rsid w:val="00C600E8"/>
    <w:rsid w:val="00C64618"/>
    <w:rsid w:val="00C70D0F"/>
    <w:rsid w:val="00C7219E"/>
    <w:rsid w:val="00C72DAA"/>
    <w:rsid w:val="00C745D1"/>
    <w:rsid w:val="00C7758D"/>
    <w:rsid w:val="00C77777"/>
    <w:rsid w:val="00C8318D"/>
    <w:rsid w:val="00C83387"/>
    <w:rsid w:val="00C83AA5"/>
    <w:rsid w:val="00C83C98"/>
    <w:rsid w:val="00C8761B"/>
    <w:rsid w:val="00C913FF"/>
    <w:rsid w:val="00C941AD"/>
    <w:rsid w:val="00C9639A"/>
    <w:rsid w:val="00C97DC8"/>
    <w:rsid w:val="00CA04A9"/>
    <w:rsid w:val="00CA424D"/>
    <w:rsid w:val="00CA6175"/>
    <w:rsid w:val="00CA74D2"/>
    <w:rsid w:val="00CA77AC"/>
    <w:rsid w:val="00CB089A"/>
    <w:rsid w:val="00CB0974"/>
    <w:rsid w:val="00CB4525"/>
    <w:rsid w:val="00CB5719"/>
    <w:rsid w:val="00CB596E"/>
    <w:rsid w:val="00CB72AF"/>
    <w:rsid w:val="00CB7359"/>
    <w:rsid w:val="00CC0133"/>
    <w:rsid w:val="00CC18C3"/>
    <w:rsid w:val="00CC4530"/>
    <w:rsid w:val="00CC56BB"/>
    <w:rsid w:val="00CC63DD"/>
    <w:rsid w:val="00CC6CA7"/>
    <w:rsid w:val="00CD18B1"/>
    <w:rsid w:val="00CD1D5F"/>
    <w:rsid w:val="00CD28D1"/>
    <w:rsid w:val="00CD30D0"/>
    <w:rsid w:val="00CD54A9"/>
    <w:rsid w:val="00CE124A"/>
    <w:rsid w:val="00CE2A97"/>
    <w:rsid w:val="00CE45DD"/>
    <w:rsid w:val="00CE4D2A"/>
    <w:rsid w:val="00CF0155"/>
    <w:rsid w:val="00CF2C23"/>
    <w:rsid w:val="00CF2EC3"/>
    <w:rsid w:val="00CF3927"/>
    <w:rsid w:val="00CF39E9"/>
    <w:rsid w:val="00CF44B0"/>
    <w:rsid w:val="00CF4C62"/>
    <w:rsid w:val="00CF79CE"/>
    <w:rsid w:val="00D0502F"/>
    <w:rsid w:val="00D0697C"/>
    <w:rsid w:val="00D07F62"/>
    <w:rsid w:val="00D10B90"/>
    <w:rsid w:val="00D113F1"/>
    <w:rsid w:val="00D118DA"/>
    <w:rsid w:val="00D1238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C1F"/>
    <w:rsid w:val="00D83636"/>
    <w:rsid w:val="00D85F98"/>
    <w:rsid w:val="00D869C3"/>
    <w:rsid w:val="00D905D5"/>
    <w:rsid w:val="00D91AE1"/>
    <w:rsid w:val="00DA4689"/>
    <w:rsid w:val="00DA474C"/>
    <w:rsid w:val="00DA4891"/>
    <w:rsid w:val="00DA4926"/>
    <w:rsid w:val="00DA6B7D"/>
    <w:rsid w:val="00DB02C0"/>
    <w:rsid w:val="00DB0357"/>
    <w:rsid w:val="00DB2227"/>
    <w:rsid w:val="00DB23F6"/>
    <w:rsid w:val="00DB5D01"/>
    <w:rsid w:val="00DB79E4"/>
    <w:rsid w:val="00DC06A4"/>
    <w:rsid w:val="00DC2BF8"/>
    <w:rsid w:val="00DC3459"/>
    <w:rsid w:val="00DC3B22"/>
    <w:rsid w:val="00DD7636"/>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EC2"/>
    <w:rsid w:val="00E167E1"/>
    <w:rsid w:val="00E21E8C"/>
    <w:rsid w:val="00E250B5"/>
    <w:rsid w:val="00E2708D"/>
    <w:rsid w:val="00E270E6"/>
    <w:rsid w:val="00E2770A"/>
    <w:rsid w:val="00E33737"/>
    <w:rsid w:val="00E33CD1"/>
    <w:rsid w:val="00E44250"/>
    <w:rsid w:val="00E47E96"/>
    <w:rsid w:val="00E53631"/>
    <w:rsid w:val="00E5420C"/>
    <w:rsid w:val="00E56339"/>
    <w:rsid w:val="00E56ECC"/>
    <w:rsid w:val="00E57FEE"/>
    <w:rsid w:val="00E629C3"/>
    <w:rsid w:val="00E667B4"/>
    <w:rsid w:val="00E715FD"/>
    <w:rsid w:val="00E71601"/>
    <w:rsid w:val="00E71F11"/>
    <w:rsid w:val="00E729F5"/>
    <w:rsid w:val="00E736B3"/>
    <w:rsid w:val="00E73C8D"/>
    <w:rsid w:val="00E758D8"/>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3A4B"/>
    <w:rsid w:val="00EA6C48"/>
    <w:rsid w:val="00EA71E1"/>
    <w:rsid w:val="00EB26CD"/>
    <w:rsid w:val="00EB3306"/>
    <w:rsid w:val="00EB3FB0"/>
    <w:rsid w:val="00EB4C4B"/>
    <w:rsid w:val="00EB5A09"/>
    <w:rsid w:val="00EB6E94"/>
    <w:rsid w:val="00EC1C37"/>
    <w:rsid w:val="00EC4A87"/>
    <w:rsid w:val="00EC6271"/>
    <w:rsid w:val="00ED086D"/>
    <w:rsid w:val="00ED0F0B"/>
    <w:rsid w:val="00ED2EBC"/>
    <w:rsid w:val="00ED4755"/>
    <w:rsid w:val="00ED584C"/>
    <w:rsid w:val="00ED7431"/>
    <w:rsid w:val="00EE3BFD"/>
    <w:rsid w:val="00EE5A58"/>
    <w:rsid w:val="00EE77EC"/>
    <w:rsid w:val="00EF0CFD"/>
    <w:rsid w:val="00EF1BA6"/>
    <w:rsid w:val="00EF4866"/>
    <w:rsid w:val="00EF6DD7"/>
    <w:rsid w:val="00EF754F"/>
    <w:rsid w:val="00F004E9"/>
    <w:rsid w:val="00F0467A"/>
    <w:rsid w:val="00F0649C"/>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5123"/>
    <w:rsid w:val="00F4578F"/>
    <w:rsid w:val="00F46149"/>
    <w:rsid w:val="00F46952"/>
    <w:rsid w:val="00F50086"/>
    <w:rsid w:val="00F52603"/>
    <w:rsid w:val="00F52760"/>
    <w:rsid w:val="00F60A53"/>
    <w:rsid w:val="00F61230"/>
    <w:rsid w:val="00F62F45"/>
    <w:rsid w:val="00F6309B"/>
    <w:rsid w:val="00F64615"/>
    <w:rsid w:val="00F65669"/>
    <w:rsid w:val="00F71993"/>
    <w:rsid w:val="00F72BBB"/>
    <w:rsid w:val="00F735E8"/>
    <w:rsid w:val="00F739F2"/>
    <w:rsid w:val="00F73CCF"/>
    <w:rsid w:val="00F74FE5"/>
    <w:rsid w:val="00F750B6"/>
    <w:rsid w:val="00F76B07"/>
    <w:rsid w:val="00F80AE3"/>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A5DAA"/>
    <w:rsid w:val="00FA710D"/>
    <w:rsid w:val="00FB0D18"/>
    <w:rsid w:val="00FB1517"/>
    <w:rsid w:val="00FB390F"/>
    <w:rsid w:val="00FB4712"/>
    <w:rsid w:val="00FB582F"/>
    <w:rsid w:val="00FB6B5D"/>
    <w:rsid w:val="00FC082C"/>
    <w:rsid w:val="00FC2426"/>
    <w:rsid w:val="00FC3210"/>
    <w:rsid w:val="00FC3827"/>
    <w:rsid w:val="00FC3AF0"/>
    <w:rsid w:val="00FC3BFD"/>
    <w:rsid w:val="00FC4B9F"/>
    <w:rsid w:val="00FC4DD0"/>
    <w:rsid w:val="00FC6196"/>
    <w:rsid w:val="00FC654F"/>
    <w:rsid w:val="00FC77AF"/>
    <w:rsid w:val="00FC79C6"/>
    <w:rsid w:val="00FD00C2"/>
    <w:rsid w:val="00FD1226"/>
    <w:rsid w:val="00FD6B02"/>
    <w:rsid w:val="00FE0B7F"/>
    <w:rsid w:val="00FE0F32"/>
    <w:rsid w:val="00FE11DF"/>
    <w:rsid w:val="00FE2E9C"/>
    <w:rsid w:val="00FE62AA"/>
    <w:rsid w:val="00FF047B"/>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F2-zkladn"/>
    <w:qFormat/>
    <w:rsid w:val="004202CB"/>
    <w:pPr>
      <w:spacing w:before="240" w:line="300" w:lineRule="exact"/>
      <w:jc w:val="both"/>
    </w:pPr>
    <w:rPr>
      <w:rFonts w:ascii="Arial" w:hAnsi="Arial" w:cs="Arial"/>
    </w:rPr>
  </w:style>
  <w:style w:type="paragraph" w:styleId="Heading1">
    <w:name w:val="heading 1"/>
    <w:aliases w:val="F10 - Nadpis 1"/>
    <w:basedOn w:val="Normal"/>
    <w:next w:val="Normal"/>
    <w:qFormat/>
    <w:rsid w:val="00794E4C"/>
    <w:pPr>
      <w:keepNext/>
      <w:spacing w:after="60"/>
      <w:outlineLvl w:val="0"/>
    </w:pPr>
    <w:rPr>
      <w:b/>
      <w:bCs/>
      <w:kern w:val="32"/>
      <w:sz w:val="32"/>
      <w:szCs w:val="32"/>
    </w:rPr>
  </w:style>
  <w:style w:type="paragraph" w:styleId="Heading2">
    <w:name w:val="heading 2"/>
    <w:aliases w:val="F9 - Nadpis 2"/>
    <w:basedOn w:val="Normal"/>
    <w:next w:val="Normal"/>
    <w:qFormat/>
    <w:rsid w:val="00F94AF9"/>
    <w:pPr>
      <w:keepNext/>
      <w:numPr>
        <w:ilvl w:val="1"/>
        <w:numId w:val="4"/>
      </w:numPr>
      <w:spacing w:after="60"/>
      <w:outlineLvl w:val="1"/>
    </w:pPr>
    <w:rPr>
      <w:b/>
      <w:bCs/>
      <w:i/>
      <w:iCs/>
      <w:sz w:val="28"/>
      <w:szCs w:val="28"/>
    </w:rPr>
  </w:style>
  <w:style w:type="paragraph" w:styleId="Heading3">
    <w:name w:val="heading 3"/>
    <w:aliases w:val="F8 - Nadpis 3"/>
    <w:basedOn w:val="Normal"/>
    <w:next w:val="Normal"/>
    <w:qFormat/>
    <w:rsid w:val="002B6FCD"/>
    <w:pPr>
      <w:keepNext/>
      <w:numPr>
        <w:ilvl w:val="2"/>
        <w:numId w:val="5"/>
      </w:numPr>
      <w:spacing w:after="60"/>
      <w:outlineLvl w:val="2"/>
    </w:pPr>
    <w:rPr>
      <w:b/>
      <w:bCs/>
      <w:sz w:val="26"/>
      <w:szCs w:val="26"/>
    </w:rPr>
  </w:style>
  <w:style w:type="paragraph" w:styleId="Heading4">
    <w:name w:val="heading 4"/>
    <w:basedOn w:val="Normal"/>
    <w:next w:val="Normal"/>
    <w:qFormat/>
    <w:rsid w:val="00C5024B"/>
    <w:pPr>
      <w:keepNext/>
      <w:spacing w:after="60"/>
      <w:outlineLvl w:val="3"/>
    </w:pPr>
    <w:rPr>
      <w:b/>
      <w:bCs/>
      <w:sz w:val="28"/>
      <w:szCs w:val="28"/>
    </w:rPr>
  </w:style>
  <w:style w:type="paragraph" w:styleId="Heading5">
    <w:name w:val="heading 5"/>
    <w:basedOn w:val="Normal"/>
    <w:next w:val="Normal"/>
    <w:qFormat/>
    <w:rsid w:val="00C5024B"/>
    <w:pPr>
      <w:numPr>
        <w:ilvl w:val="4"/>
        <w:numId w:val="6"/>
      </w:numPr>
      <w:spacing w:after="60"/>
      <w:outlineLvl w:val="4"/>
    </w:pPr>
    <w:rPr>
      <w:b/>
      <w:bCs/>
      <w:i/>
      <w:iCs/>
      <w:sz w:val="26"/>
      <w:szCs w:val="26"/>
    </w:rPr>
  </w:style>
  <w:style w:type="paragraph" w:styleId="Heading6">
    <w:name w:val="heading 6"/>
    <w:basedOn w:val="Normal"/>
    <w:next w:val="Normal"/>
    <w:qFormat/>
    <w:rsid w:val="00C5024B"/>
    <w:pPr>
      <w:numPr>
        <w:ilvl w:val="5"/>
        <w:numId w:val="6"/>
      </w:numPr>
      <w:spacing w:after="60"/>
      <w:outlineLvl w:val="5"/>
    </w:pPr>
    <w:rPr>
      <w:b/>
      <w:bCs/>
      <w:sz w:val="22"/>
      <w:szCs w:val="22"/>
    </w:rPr>
  </w:style>
  <w:style w:type="paragraph" w:styleId="Heading7">
    <w:name w:val="heading 7"/>
    <w:basedOn w:val="Normal"/>
    <w:next w:val="Normal"/>
    <w:qFormat/>
    <w:rsid w:val="00C5024B"/>
    <w:pPr>
      <w:numPr>
        <w:ilvl w:val="6"/>
        <w:numId w:val="6"/>
      </w:numPr>
      <w:spacing w:after="60"/>
      <w:outlineLvl w:val="6"/>
    </w:pPr>
  </w:style>
  <w:style w:type="paragraph" w:styleId="Heading8">
    <w:name w:val="heading 8"/>
    <w:basedOn w:val="Normal"/>
    <w:next w:val="Normal"/>
    <w:qFormat/>
    <w:rsid w:val="00C5024B"/>
    <w:pPr>
      <w:numPr>
        <w:ilvl w:val="7"/>
        <w:numId w:val="6"/>
      </w:numPr>
      <w:spacing w:after="60"/>
      <w:outlineLvl w:val="7"/>
    </w:pPr>
    <w:rPr>
      <w:i/>
      <w:iCs/>
    </w:rPr>
  </w:style>
  <w:style w:type="paragraph" w:styleId="Heading9">
    <w:name w:val="heading 9"/>
    <w:basedOn w:val="Normal"/>
    <w:next w:val="Normal"/>
    <w:qFormat/>
    <w:rsid w:val="00C5024B"/>
    <w:pPr>
      <w:numPr>
        <w:ilvl w:val="8"/>
        <w:numId w:val="6"/>
      </w:numPr>
      <w:spacing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TableNormal"/>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TableGrid">
    <w:name w:val="Table Grid"/>
    <w:basedOn w:val="TableNormal"/>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al"/>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NoList"/>
    <w:semiHidden/>
    <w:rsid w:val="00794E4C"/>
    <w:pPr>
      <w:numPr>
        <w:numId w:val="7"/>
      </w:numPr>
    </w:pPr>
  </w:style>
  <w:style w:type="numbering" w:styleId="1ai">
    <w:name w:val="Outline List 1"/>
    <w:basedOn w:val="NoList"/>
    <w:semiHidden/>
    <w:rsid w:val="00794E4C"/>
    <w:pPr>
      <w:numPr>
        <w:numId w:val="8"/>
      </w:numPr>
    </w:pPr>
  </w:style>
  <w:style w:type="paragraph" w:styleId="HTMLAddress">
    <w:name w:val="HTML Address"/>
    <w:basedOn w:val="Normal"/>
    <w:semiHidden/>
    <w:rsid w:val="00794E4C"/>
    <w:rPr>
      <w:i/>
      <w:iCs/>
    </w:rPr>
  </w:style>
  <w:style w:type="paragraph" w:styleId="EnvelopeAddress">
    <w:name w:val="envelope address"/>
    <w:basedOn w:val="Normal"/>
    <w:semiHidden/>
    <w:rsid w:val="00794E4C"/>
    <w:pPr>
      <w:framePr w:w="7920" w:h="1980" w:hRule="exact" w:hSpace="141" w:wrap="auto" w:hAnchor="page" w:xAlign="center" w:yAlign="bottom"/>
      <w:ind w:left="2880"/>
    </w:pPr>
  </w:style>
  <w:style w:type="character" w:styleId="HTMLAcronym">
    <w:name w:val="HTML Acronym"/>
    <w:basedOn w:val="DefaultParagraphFont"/>
    <w:semiHidden/>
    <w:rsid w:val="00794E4C"/>
  </w:style>
  <w:style w:type="table" w:styleId="TableColorful1">
    <w:name w:val="Table Colorful 1"/>
    <w:basedOn w:val="TableNormal"/>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Cite">
    <w:name w:val="HTML Cite"/>
    <w:semiHidden/>
    <w:rsid w:val="00794E4C"/>
    <w:rPr>
      <w:i/>
      <w:iCs/>
    </w:rPr>
  </w:style>
  <w:style w:type="character" w:styleId="LineNumber">
    <w:name w:val="line number"/>
    <w:basedOn w:val="DefaultParagraphFont"/>
    <w:semiHidden/>
    <w:rsid w:val="00794E4C"/>
  </w:style>
  <w:style w:type="character" w:styleId="PageNumber">
    <w:name w:val="page number"/>
    <w:basedOn w:val="DefaultParagraphFont"/>
    <w:semiHidden/>
    <w:rsid w:val="00794E4C"/>
  </w:style>
  <w:style w:type="paragraph" w:styleId="ListNumber">
    <w:name w:val="List Number"/>
    <w:basedOn w:val="Normal"/>
    <w:uiPriority w:val="99"/>
    <w:semiHidden/>
    <w:rsid w:val="00794E4C"/>
    <w:pPr>
      <w:numPr>
        <w:numId w:val="9"/>
      </w:numPr>
    </w:pPr>
  </w:style>
  <w:style w:type="paragraph" w:styleId="ListNumber2">
    <w:name w:val="List Number 2"/>
    <w:basedOn w:val="Normal"/>
    <w:semiHidden/>
    <w:rsid w:val="00794E4C"/>
    <w:pPr>
      <w:numPr>
        <w:numId w:val="10"/>
      </w:numPr>
    </w:pPr>
  </w:style>
  <w:style w:type="paragraph" w:styleId="ListNumber3">
    <w:name w:val="List Number 3"/>
    <w:basedOn w:val="Normal"/>
    <w:semiHidden/>
    <w:rsid w:val="00794E4C"/>
    <w:pPr>
      <w:numPr>
        <w:numId w:val="11"/>
      </w:numPr>
    </w:pPr>
  </w:style>
  <w:style w:type="paragraph" w:styleId="ListNumber4">
    <w:name w:val="List Number 4"/>
    <w:basedOn w:val="Normal"/>
    <w:semiHidden/>
    <w:rsid w:val="00794E4C"/>
    <w:pPr>
      <w:numPr>
        <w:numId w:val="12"/>
      </w:numPr>
    </w:pPr>
  </w:style>
  <w:style w:type="paragraph" w:styleId="ListNumber5">
    <w:name w:val="List Number 5"/>
    <w:basedOn w:val="Normal"/>
    <w:semiHidden/>
    <w:rsid w:val="00794E4C"/>
    <w:pPr>
      <w:numPr>
        <w:numId w:val="13"/>
      </w:numPr>
    </w:pPr>
  </w:style>
  <w:style w:type="numbering" w:styleId="ArticleSection">
    <w:name w:val="Outline List 3"/>
    <w:basedOn w:val="NoList"/>
    <w:semiHidden/>
    <w:rsid w:val="00794E4C"/>
    <w:pPr>
      <w:numPr>
        <w:numId w:val="14"/>
      </w:numPr>
    </w:pPr>
  </w:style>
  <w:style w:type="paragraph" w:styleId="Date">
    <w:name w:val="Date"/>
    <w:basedOn w:val="Normal"/>
    <w:next w:val="Normal"/>
    <w:semiHidden/>
    <w:rsid w:val="00794E4C"/>
  </w:style>
  <w:style w:type="character" w:styleId="HTMLDefinition">
    <w:name w:val="HTML Definition"/>
    <w:semiHidden/>
    <w:rsid w:val="00794E4C"/>
    <w:rPr>
      <w:i/>
      <w:iCs/>
    </w:rPr>
  </w:style>
  <w:style w:type="table" w:styleId="TableElegant">
    <w:name w:val="Table Elegant"/>
    <w:basedOn w:val="TableNormal"/>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HTMLPreformatted">
    <w:name w:val="HTML Preformatted"/>
    <w:basedOn w:val="Normal"/>
    <w:link w:val="HTMLPreformattedChar"/>
    <w:uiPriority w:val="99"/>
    <w:rsid w:val="00794E4C"/>
    <w:rPr>
      <w:rFonts w:ascii="Courier New" w:hAnsi="Courier New" w:cs="Times New Roman"/>
    </w:rPr>
  </w:style>
  <w:style w:type="character" w:styleId="Hyperlink">
    <w:name w:val="Hyperlink"/>
    <w:uiPriority w:val="99"/>
    <w:rsid w:val="00794E4C"/>
    <w:rPr>
      <w:color w:val="0000FF"/>
      <w:u w:val="single"/>
    </w:rPr>
  </w:style>
  <w:style w:type="table" w:styleId="TableSimple1">
    <w:name w:val="Table Simple 1"/>
    <w:basedOn w:val="TableNormal"/>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Keyboard">
    <w:name w:val="HTML Keyboard"/>
    <w:semiHidden/>
    <w:rsid w:val="00794E4C"/>
    <w:rPr>
      <w:rFonts w:ascii="Courier New" w:hAnsi="Courier New" w:cs="Courier New"/>
      <w:sz w:val="20"/>
      <w:szCs w:val="20"/>
    </w:rPr>
  </w:style>
  <w:style w:type="character" w:styleId="HTMLCode">
    <w:name w:val="HTML Code"/>
    <w:semiHidden/>
    <w:rsid w:val="00794E4C"/>
    <w:rPr>
      <w:rFonts w:ascii="Courier New" w:hAnsi="Courier New" w:cs="Courier New"/>
      <w:sz w:val="20"/>
      <w:szCs w:val="20"/>
    </w:rPr>
  </w:style>
  <w:style w:type="table" w:styleId="TableContemporary">
    <w:name w:val="Table Contemporary"/>
    <w:basedOn w:val="TableNormal"/>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Theme">
    <w:name w:val="Table Theme"/>
    <w:basedOn w:val="TableNormal"/>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teHeading">
    <w:name w:val="Note Heading"/>
    <w:basedOn w:val="Normal"/>
    <w:next w:val="Normal"/>
    <w:semiHidden/>
    <w:rsid w:val="00794E4C"/>
  </w:style>
  <w:style w:type="paragraph" w:styleId="Title">
    <w:name w:val="Title"/>
    <w:basedOn w:val="Normal"/>
    <w:link w:val="TitleChar"/>
    <w:uiPriority w:val="10"/>
    <w:qFormat/>
    <w:rsid w:val="00794E4C"/>
    <w:pPr>
      <w:spacing w:after="60"/>
      <w:jc w:val="center"/>
      <w:outlineLvl w:val="0"/>
    </w:pPr>
    <w:rPr>
      <w:b/>
      <w:bCs/>
      <w:kern w:val="28"/>
      <w:sz w:val="32"/>
      <w:szCs w:val="32"/>
    </w:rPr>
  </w:style>
  <w:style w:type="paragraph" w:styleId="NormalWeb">
    <w:name w:val="Normal (Web)"/>
    <w:basedOn w:val="Normal"/>
    <w:uiPriority w:val="99"/>
    <w:rsid w:val="00794E4C"/>
  </w:style>
  <w:style w:type="paragraph" w:styleId="NormalIndent">
    <w:name w:val="Normal Indent"/>
    <w:basedOn w:val="Normal"/>
    <w:semiHidden/>
    <w:rsid w:val="00794E4C"/>
    <w:pPr>
      <w:ind w:left="708"/>
    </w:pPr>
  </w:style>
  <w:style w:type="paragraph" w:styleId="Salutation">
    <w:name w:val="Salutation"/>
    <w:basedOn w:val="Normal"/>
    <w:next w:val="Normal"/>
    <w:semiHidden/>
    <w:rsid w:val="00794E4C"/>
  </w:style>
  <w:style w:type="paragraph" w:styleId="Signature">
    <w:name w:val="Signature"/>
    <w:basedOn w:val="Normal"/>
    <w:semiHidden/>
    <w:rsid w:val="00794E4C"/>
    <w:pPr>
      <w:ind w:left="4252"/>
    </w:pPr>
  </w:style>
  <w:style w:type="paragraph" w:styleId="E-mailSignature">
    <w:name w:val="E-mail Signature"/>
    <w:basedOn w:val="Normal"/>
    <w:semiHidden/>
    <w:rsid w:val="00794E4C"/>
  </w:style>
  <w:style w:type="paragraph" w:styleId="Subtitle">
    <w:name w:val="Subtitle"/>
    <w:basedOn w:val="Normal"/>
    <w:qFormat/>
    <w:rsid w:val="00794E4C"/>
    <w:pPr>
      <w:spacing w:after="60"/>
      <w:jc w:val="center"/>
      <w:outlineLvl w:val="1"/>
    </w:pPr>
  </w:style>
  <w:style w:type="paragraph" w:styleId="ListContinue">
    <w:name w:val="List Continue"/>
    <w:basedOn w:val="Normal"/>
    <w:semiHidden/>
    <w:rsid w:val="00794E4C"/>
    <w:pPr>
      <w:spacing w:after="120"/>
      <w:ind w:left="283"/>
    </w:pPr>
  </w:style>
  <w:style w:type="paragraph" w:styleId="ListContinue2">
    <w:name w:val="List Continue 2"/>
    <w:basedOn w:val="Normal"/>
    <w:semiHidden/>
    <w:rsid w:val="00794E4C"/>
    <w:pPr>
      <w:spacing w:after="120"/>
      <w:ind w:left="566"/>
    </w:pPr>
  </w:style>
  <w:style w:type="paragraph" w:styleId="ListContinue3">
    <w:name w:val="List Continue 3"/>
    <w:basedOn w:val="Normal"/>
    <w:semiHidden/>
    <w:rsid w:val="00794E4C"/>
    <w:pPr>
      <w:spacing w:after="120"/>
      <w:ind w:left="849"/>
    </w:pPr>
  </w:style>
  <w:style w:type="paragraph" w:styleId="ListContinue4">
    <w:name w:val="List Continue 4"/>
    <w:basedOn w:val="Normal"/>
    <w:semiHidden/>
    <w:rsid w:val="00794E4C"/>
    <w:pPr>
      <w:spacing w:after="120"/>
      <w:ind w:left="1132"/>
    </w:pPr>
  </w:style>
  <w:style w:type="paragraph" w:styleId="ListContinue5">
    <w:name w:val="List Continue 5"/>
    <w:basedOn w:val="Normal"/>
    <w:semiHidden/>
    <w:rsid w:val="00794E4C"/>
    <w:pPr>
      <w:spacing w:after="120"/>
      <w:ind w:left="1415"/>
    </w:pPr>
  </w:style>
  <w:style w:type="table" w:styleId="TableProfessional">
    <w:name w:val="Table Professional"/>
    <w:basedOn w:val="TableNormal"/>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HTMLVariable">
    <w:name w:val="HTML Variable"/>
    <w:semiHidden/>
    <w:rsid w:val="00794E4C"/>
    <w:rPr>
      <w:i/>
      <w:iCs/>
    </w:rPr>
  </w:style>
  <w:style w:type="paragraph" w:styleId="PlainText">
    <w:name w:val="Plain Text"/>
    <w:basedOn w:val="Normal"/>
    <w:semiHidden/>
    <w:rsid w:val="00794E4C"/>
    <w:rPr>
      <w:rFonts w:ascii="Courier New" w:hAnsi="Courier New" w:cs="Courier New"/>
    </w:rPr>
  </w:style>
  <w:style w:type="character" w:styleId="HTMLTypewriter">
    <w:name w:val="HTML Typewriter"/>
    <w:semiHidden/>
    <w:rsid w:val="00794E4C"/>
    <w:rPr>
      <w:rFonts w:ascii="Courier New" w:hAnsi="Courier New" w:cs="Courier New"/>
      <w:sz w:val="20"/>
      <w:szCs w:val="20"/>
    </w:rPr>
  </w:style>
  <w:style w:type="paragraph" w:styleId="List">
    <w:name w:val="List"/>
    <w:basedOn w:val="Normal"/>
    <w:semiHidden/>
    <w:rsid w:val="00794E4C"/>
    <w:pPr>
      <w:ind w:left="283" w:hanging="283"/>
    </w:pPr>
  </w:style>
  <w:style w:type="paragraph" w:styleId="List2">
    <w:name w:val="List 2"/>
    <w:basedOn w:val="Normal"/>
    <w:semiHidden/>
    <w:rsid w:val="00794E4C"/>
    <w:pPr>
      <w:ind w:left="566" w:hanging="283"/>
    </w:pPr>
  </w:style>
  <w:style w:type="paragraph" w:styleId="List3">
    <w:name w:val="List 3"/>
    <w:basedOn w:val="Normal"/>
    <w:semiHidden/>
    <w:rsid w:val="00794E4C"/>
    <w:pPr>
      <w:ind w:left="849" w:hanging="283"/>
    </w:pPr>
  </w:style>
  <w:style w:type="paragraph" w:styleId="List4">
    <w:name w:val="List 4"/>
    <w:basedOn w:val="Normal"/>
    <w:semiHidden/>
    <w:rsid w:val="00794E4C"/>
    <w:pPr>
      <w:ind w:left="1132" w:hanging="283"/>
    </w:pPr>
  </w:style>
  <w:style w:type="paragraph" w:styleId="List5">
    <w:name w:val="List 5"/>
    <w:basedOn w:val="Normal"/>
    <w:semiHidden/>
    <w:rsid w:val="00794E4C"/>
    <w:pPr>
      <w:ind w:left="1415" w:hanging="283"/>
    </w:pPr>
  </w:style>
  <w:style w:type="paragraph" w:styleId="ListBullet">
    <w:name w:val="List Bullet"/>
    <w:basedOn w:val="Normal"/>
    <w:semiHidden/>
    <w:rsid w:val="00794E4C"/>
    <w:pPr>
      <w:numPr>
        <w:numId w:val="15"/>
      </w:numPr>
    </w:pPr>
  </w:style>
  <w:style w:type="paragraph" w:styleId="ListBullet2">
    <w:name w:val="List Bullet 2"/>
    <w:basedOn w:val="Normal"/>
    <w:semiHidden/>
    <w:rsid w:val="00794E4C"/>
    <w:pPr>
      <w:numPr>
        <w:numId w:val="16"/>
      </w:numPr>
    </w:pPr>
  </w:style>
  <w:style w:type="paragraph" w:styleId="ListBullet3">
    <w:name w:val="List Bullet 3"/>
    <w:basedOn w:val="Normal"/>
    <w:semiHidden/>
    <w:rsid w:val="00794E4C"/>
    <w:pPr>
      <w:numPr>
        <w:numId w:val="17"/>
      </w:numPr>
    </w:pPr>
  </w:style>
  <w:style w:type="paragraph" w:styleId="ListBullet4">
    <w:name w:val="List Bullet 4"/>
    <w:basedOn w:val="Normal"/>
    <w:semiHidden/>
    <w:rsid w:val="00794E4C"/>
    <w:pPr>
      <w:numPr>
        <w:numId w:val="18"/>
      </w:numPr>
    </w:pPr>
  </w:style>
  <w:style w:type="paragraph" w:styleId="ListBullet5">
    <w:name w:val="List Bullet 5"/>
    <w:basedOn w:val="Normal"/>
    <w:semiHidden/>
    <w:rsid w:val="00794E4C"/>
    <w:pPr>
      <w:numPr>
        <w:numId w:val="19"/>
      </w:numPr>
    </w:pPr>
  </w:style>
  <w:style w:type="character" w:styleId="Strong">
    <w:name w:val="Strong"/>
    <w:uiPriority w:val="22"/>
    <w:qFormat/>
    <w:rsid w:val="00794E4C"/>
    <w:rPr>
      <w:b/>
      <w:bCs/>
    </w:rPr>
  </w:style>
  <w:style w:type="character" w:styleId="FollowedHyperlink">
    <w:name w:val="FollowedHyperlink"/>
    <w:semiHidden/>
    <w:rsid w:val="00794E4C"/>
    <w:rPr>
      <w:color w:val="800080"/>
      <w:u w:val="single"/>
    </w:rPr>
  </w:style>
  <w:style w:type="table" w:styleId="TableColumns1">
    <w:name w:val="Table Columns 1"/>
    <w:basedOn w:val="TableNormal"/>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lockText">
    <w:name w:val="Block Text"/>
    <w:basedOn w:val="Normal"/>
    <w:semiHidden/>
    <w:rsid w:val="00794E4C"/>
    <w:pPr>
      <w:spacing w:after="120"/>
      <w:ind w:left="1440" w:right="1440"/>
    </w:pPr>
  </w:style>
  <w:style w:type="character" w:styleId="HTMLSample">
    <w:name w:val="HTML Sample"/>
    <w:semiHidden/>
    <w:rsid w:val="00794E4C"/>
    <w:rPr>
      <w:rFonts w:ascii="Courier New" w:hAnsi="Courier New" w:cs="Courier New"/>
    </w:rPr>
  </w:style>
  <w:style w:type="table" w:styleId="TableWeb1">
    <w:name w:val="Table Web 1"/>
    <w:basedOn w:val="TableNormal"/>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eader">
    <w:name w:val="header"/>
    <w:basedOn w:val="Normal"/>
    <w:semiHidden/>
    <w:rsid w:val="00794E4C"/>
    <w:pPr>
      <w:tabs>
        <w:tab w:val="center" w:pos="4536"/>
        <w:tab w:val="right" w:pos="9072"/>
      </w:tabs>
    </w:pPr>
  </w:style>
  <w:style w:type="paragraph" w:styleId="MessageHeader">
    <w:name w:val="Message Header"/>
    <w:basedOn w:val="Normal"/>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BodyText">
    <w:name w:val="Body Text"/>
    <w:basedOn w:val="Normal"/>
    <w:semiHidden/>
    <w:rsid w:val="00794E4C"/>
    <w:pPr>
      <w:spacing w:after="120"/>
    </w:pPr>
  </w:style>
  <w:style w:type="paragraph" w:styleId="BodyTextFirstIndent">
    <w:name w:val="Body Text First Indent"/>
    <w:basedOn w:val="BodyText"/>
    <w:semiHidden/>
    <w:rsid w:val="00794E4C"/>
    <w:pPr>
      <w:ind w:firstLine="210"/>
    </w:pPr>
  </w:style>
  <w:style w:type="paragraph" w:styleId="BodyTextIndent">
    <w:name w:val="Body Text Indent"/>
    <w:basedOn w:val="Normal"/>
    <w:semiHidden/>
    <w:rsid w:val="00794E4C"/>
    <w:pPr>
      <w:spacing w:after="120"/>
      <w:ind w:left="283"/>
    </w:pPr>
  </w:style>
  <w:style w:type="paragraph" w:styleId="BodyTextFirstIndent2">
    <w:name w:val="Body Text First Indent 2"/>
    <w:basedOn w:val="BodyTextIndent"/>
    <w:semiHidden/>
    <w:rsid w:val="00794E4C"/>
    <w:pPr>
      <w:ind w:firstLine="210"/>
    </w:pPr>
  </w:style>
  <w:style w:type="paragraph" w:styleId="BodyText2">
    <w:name w:val="Body Text 2"/>
    <w:basedOn w:val="Normal"/>
    <w:semiHidden/>
    <w:rsid w:val="00794E4C"/>
    <w:pPr>
      <w:spacing w:after="120" w:line="480" w:lineRule="auto"/>
    </w:pPr>
  </w:style>
  <w:style w:type="paragraph" w:styleId="BodyText3">
    <w:name w:val="Body Text 3"/>
    <w:basedOn w:val="Normal"/>
    <w:semiHidden/>
    <w:rsid w:val="00794E4C"/>
    <w:pPr>
      <w:spacing w:after="120"/>
    </w:pPr>
    <w:rPr>
      <w:sz w:val="16"/>
      <w:szCs w:val="16"/>
    </w:rPr>
  </w:style>
  <w:style w:type="paragraph" w:styleId="BodyTextIndent2">
    <w:name w:val="Body Text Indent 2"/>
    <w:basedOn w:val="Normal"/>
    <w:semiHidden/>
    <w:rsid w:val="00794E4C"/>
    <w:pPr>
      <w:spacing w:after="120" w:line="480" w:lineRule="auto"/>
      <w:ind w:left="283"/>
    </w:pPr>
  </w:style>
  <w:style w:type="paragraph" w:styleId="BodyTextIndent3">
    <w:name w:val="Body Text Indent 3"/>
    <w:basedOn w:val="Normal"/>
    <w:semiHidden/>
    <w:rsid w:val="00794E4C"/>
    <w:pPr>
      <w:spacing w:after="120"/>
      <w:ind w:left="283"/>
    </w:pPr>
    <w:rPr>
      <w:sz w:val="16"/>
      <w:szCs w:val="16"/>
    </w:rPr>
  </w:style>
  <w:style w:type="paragraph" w:styleId="Footer">
    <w:name w:val="footer"/>
    <w:basedOn w:val="Normal"/>
    <w:semiHidden/>
    <w:rsid w:val="00794E4C"/>
    <w:pPr>
      <w:tabs>
        <w:tab w:val="center" w:pos="4536"/>
        <w:tab w:val="right" w:pos="9072"/>
      </w:tabs>
    </w:pPr>
  </w:style>
  <w:style w:type="paragraph" w:styleId="Closing">
    <w:name w:val="Closing"/>
    <w:basedOn w:val="Normal"/>
    <w:semiHidden/>
    <w:rsid w:val="00794E4C"/>
    <w:pPr>
      <w:ind w:left="4252"/>
    </w:pPr>
  </w:style>
  <w:style w:type="paragraph" w:styleId="EnvelopeReturn">
    <w:name w:val="envelope return"/>
    <w:basedOn w:val="Normal"/>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TableNormal"/>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TOC1">
    <w:name w:val="toc 1"/>
    <w:basedOn w:val="Normal"/>
    <w:next w:val="Normal"/>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TOC2">
    <w:name w:val="toc 2"/>
    <w:basedOn w:val="TOC1"/>
    <w:next w:val="Normal"/>
    <w:autoRedefine/>
    <w:semiHidden/>
    <w:rsid w:val="00C77777"/>
    <w:pPr>
      <w:spacing w:before="60" w:after="0" w:line="240" w:lineRule="auto"/>
    </w:pPr>
    <w:rPr>
      <w:b w:val="0"/>
      <w:caps w:val="0"/>
      <w:lang w:val="de-AT"/>
    </w:rPr>
  </w:style>
  <w:style w:type="paragraph" w:styleId="TOC3">
    <w:name w:val="toc 3"/>
    <w:basedOn w:val="TOC2"/>
    <w:next w:val="Normal"/>
    <w:autoRedefine/>
    <w:semiHidden/>
    <w:rsid w:val="00C77777"/>
    <w:pPr>
      <w:spacing w:before="0"/>
    </w:pPr>
  </w:style>
  <w:style w:type="paragraph" w:styleId="FootnoteText">
    <w:name w:val="footnote text"/>
    <w:basedOn w:val="F-poznmkapodarou"/>
    <w:next w:val="F-poznmkapodarou"/>
    <w:semiHidden/>
    <w:rsid w:val="004202CB"/>
  </w:style>
  <w:style w:type="character" w:styleId="FootnoteReference">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TOC4">
    <w:name w:val="toc 4"/>
    <w:basedOn w:val="TOC3"/>
    <w:next w:val="Normal"/>
    <w:autoRedefine/>
    <w:semiHidden/>
    <w:rsid w:val="00C77777"/>
  </w:style>
  <w:style w:type="paragraph" w:styleId="TOC5">
    <w:name w:val="toc 5"/>
    <w:basedOn w:val="Normal"/>
    <w:next w:val="Normal"/>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BalloonText">
    <w:name w:val="Balloon Text"/>
    <w:basedOn w:val="Normal"/>
    <w:link w:val="BalloonTextChar"/>
    <w:rsid w:val="00E14EC2"/>
    <w:pPr>
      <w:spacing w:before="0" w:line="240" w:lineRule="auto"/>
    </w:pPr>
    <w:rPr>
      <w:rFonts w:ascii="Tahoma" w:hAnsi="Tahoma" w:cs="Times New Roman"/>
      <w:sz w:val="16"/>
      <w:szCs w:val="16"/>
    </w:rPr>
  </w:style>
  <w:style w:type="character" w:customStyle="1" w:styleId="BalloonTextChar">
    <w:name w:val="Balloon Text Char"/>
    <w:link w:val="BalloonText"/>
    <w:rsid w:val="00E14EC2"/>
    <w:rPr>
      <w:rFonts w:ascii="Tahoma" w:hAnsi="Tahoma" w:cs="Tahoma"/>
      <w:sz w:val="16"/>
      <w:szCs w:val="16"/>
    </w:rPr>
  </w:style>
  <w:style w:type="character" w:styleId="CommentReference">
    <w:name w:val="annotation reference"/>
    <w:uiPriority w:val="99"/>
    <w:rsid w:val="00B839BA"/>
    <w:rPr>
      <w:sz w:val="16"/>
      <w:szCs w:val="16"/>
    </w:rPr>
  </w:style>
  <w:style w:type="paragraph" w:styleId="CommentText">
    <w:name w:val="annotation text"/>
    <w:basedOn w:val="Normal"/>
    <w:link w:val="CommentTextChar"/>
    <w:rsid w:val="00B839BA"/>
    <w:rPr>
      <w:rFonts w:cs="Times New Roman"/>
    </w:rPr>
  </w:style>
  <w:style w:type="character" w:customStyle="1" w:styleId="CommentTextChar">
    <w:name w:val="Comment Text Char"/>
    <w:link w:val="CommentText"/>
    <w:rsid w:val="00B839BA"/>
    <w:rPr>
      <w:rFonts w:ascii="Arial" w:hAnsi="Arial" w:cs="Arial"/>
    </w:rPr>
  </w:style>
  <w:style w:type="paragraph" w:styleId="CommentSubject">
    <w:name w:val="annotation subject"/>
    <w:basedOn w:val="CommentText"/>
    <w:next w:val="CommentText"/>
    <w:link w:val="CommentSubjectChar"/>
    <w:rsid w:val="00B839BA"/>
    <w:rPr>
      <w:b/>
      <w:bCs/>
    </w:rPr>
  </w:style>
  <w:style w:type="character" w:customStyle="1" w:styleId="CommentSubjectChar">
    <w:name w:val="Comment Subject Char"/>
    <w:link w:val="CommentSubject"/>
    <w:rsid w:val="00B839BA"/>
    <w:rPr>
      <w:rFonts w:ascii="Arial" w:hAnsi="Arial" w:cs="Arial"/>
      <w:b/>
      <w:bCs/>
    </w:rPr>
  </w:style>
  <w:style w:type="character" w:customStyle="1" w:styleId="HTMLPreformattedChar">
    <w:name w:val="HTML Preformatted Char"/>
    <w:link w:val="HTMLPreformatted"/>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ListParagraph">
    <w:name w:val="List Paragraph"/>
    <w:aliases w:val="List Level 1,PRI Bullets,Bullet Paragraph,References,маркированный,Main numbered paragraph,Question"/>
    <w:basedOn w:val="Normal"/>
    <w:link w:val="ListParagraphChar"/>
    <w:uiPriority w:val="34"/>
    <w:qFormat/>
    <w:rsid w:val="00B93072"/>
    <w:pPr>
      <w:ind w:left="720"/>
      <w:contextualSpacing/>
    </w:pPr>
  </w:style>
  <w:style w:type="character" w:customStyle="1" w:styleId="TitleChar">
    <w:name w:val="Title Char"/>
    <w:basedOn w:val="DefaultParagraphFont"/>
    <w:link w:val="Title"/>
    <w:uiPriority w:val="10"/>
    <w:rsid w:val="007238DA"/>
    <w:rPr>
      <w:rFonts w:ascii="Arial" w:hAnsi="Arial" w:cs="Arial"/>
      <w:b/>
      <w:bCs/>
      <w:kern w:val="28"/>
      <w:sz w:val="32"/>
      <w:szCs w:val="32"/>
    </w:rPr>
  </w:style>
  <w:style w:type="paragraph" w:styleId="Revision">
    <w:name w:val="Revision"/>
    <w:hidden/>
    <w:uiPriority w:val="99"/>
    <w:semiHidden/>
    <w:rsid w:val="00DE5661"/>
    <w:rPr>
      <w:rFonts w:ascii="Arial" w:hAnsi="Arial" w:cs="Arial"/>
    </w:rPr>
  </w:style>
  <w:style w:type="character" w:customStyle="1" w:styleId="Nevyeenzmnka2">
    <w:name w:val="Nevyřešená zmínka2"/>
    <w:basedOn w:val="DefaultParagraphFont"/>
    <w:uiPriority w:val="99"/>
    <w:semiHidden/>
    <w:unhideWhenUsed/>
    <w:rsid w:val="00431E52"/>
    <w:rPr>
      <w:color w:val="605E5C"/>
      <w:shd w:val="clear" w:color="auto" w:fill="E1DFDD"/>
    </w:rPr>
  </w:style>
  <w:style w:type="paragraph" w:customStyle="1" w:styleId="FIL3Body">
    <w:name w:val="FIL_3_Body"/>
    <w:basedOn w:val="Normal"/>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al"/>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al"/>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al"/>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DefaultParagraphFont"/>
    <w:rsid w:val="006B6F61"/>
  </w:style>
  <w:style w:type="character" w:customStyle="1" w:styleId="eop">
    <w:name w:val="eop"/>
    <w:basedOn w:val="DefaultParagraphFont"/>
    <w:rsid w:val="006B6F61"/>
  </w:style>
  <w:style w:type="paragraph" w:customStyle="1" w:styleId="xmsonormal">
    <w:name w:val="x_msonormal"/>
    <w:basedOn w:val="Normal"/>
    <w:rsid w:val="00A82114"/>
    <w:pPr>
      <w:spacing w:before="0" w:line="240" w:lineRule="auto"/>
      <w:jc w:val="left"/>
    </w:pPr>
    <w:rPr>
      <w:rFonts w:ascii="Calibri" w:eastAsia="Gulim" w:hAnsi="Calibri" w:cs="Calibri"/>
      <w:sz w:val="22"/>
      <w:szCs w:val="22"/>
      <w:lang w:val="en-GB" w:eastAsia="ko-KR"/>
    </w:rPr>
  </w:style>
  <w:style w:type="character" w:customStyle="1" w:styleId="ListParagraphChar">
    <w:name w:val="List Paragraph Char"/>
    <w:aliases w:val="List Level 1 Char,PRI Bullets Char,Bullet Paragraph Char,References Char,маркированный Char,Main numbered paragraph Char,Question Char"/>
    <w:link w:val="ListParagraph"/>
    <w:uiPriority w:val="34"/>
    <w:locked/>
    <w:rsid w:val="00A8211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hyperlink" Target="mailto:eliska.krohova@crestcom.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5" ma:contentTypeDescription="Vytvoří nový dokument" ma:contentTypeScope="" ma:versionID="73615eaf32a54359c8aceb46b6aad98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ca641cb97f4cb79c7e1215453f7bbf5"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A24FB6-D2B6-4A79-8EEF-6BF208DFC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customXml/itemProps3.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4.xml><?xml version="1.0" encoding="utf-8"?>
<ds:datastoreItem xmlns:ds="http://schemas.openxmlformats.org/officeDocument/2006/customXml" ds:itemID="{6FF2901F-9299-4A9A-817D-EAA7280AD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1761</Words>
  <Characters>10776</Characters>
  <Application>Microsoft Office Word</Application>
  <DocSecurity>4</DocSecurity>
  <Lines>89</Lines>
  <Paragraphs>25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Dokument</vt:lpstr>
      <vt:lpstr>Dokument</vt:lpstr>
    </vt:vector>
  </TitlesOfParts>
  <Company>TPA-NOTIA, s.r.o.</Company>
  <LinksUpToDate>false</LinksUpToDate>
  <CharactersWithSpaces>12512</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Eliška Šerhantová</cp:lastModifiedBy>
  <cp:revision>2</cp:revision>
  <cp:lastPrinted>2015-11-30T16:29:00Z</cp:lastPrinted>
  <dcterms:created xsi:type="dcterms:W3CDTF">2023-04-20T12:07:00Z</dcterms:created>
  <dcterms:modified xsi:type="dcterms:W3CDTF">2023-04-20T12:07:00Z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